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7C69" w14:textId="02DB7DAD" w:rsidR="00B85ECD" w:rsidRPr="008D4F7C" w:rsidRDefault="005D5DE5" w:rsidP="000A0E25">
      <w:pPr>
        <w:pStyle w:val="Heading1"/>
        <w:spacing w:before="120" w:after="120"/>
      </w:pPr>
      <w:r>
        <w:t>Extended Abstract</w:t>
      </w:r>
      <w:r w:rsidR="005B0EC6" w:rsidRPr="008D4F7C">
        <w:t xml:space="preserve"> Title</w:t>
      </w:r>
    </w:p>
    <w:p w14:paraId="726FDEA8" w14:textId="5189749D" w:rsidR="00B85ECD" w:rsidRPr="00B85ECD" w:rsidRDefault="00B85ECD" w:rsidP="000A0E25">
      <w:pPr>
        <w:spacing w:before="120" w:after="120" w:line="240" w:lineRule="auto"/>
        <w:jc w:val="center"/>
        <w:rPr>
          <w:sz w:val="36"/>
        </w:rPr>
      </w:pPr>
      <w:r w:rsidRPr="00B85ECD">
        <w:rPr>
          <w:rFonts w:eastAsia="Times New Roman"/>
          <w:spacing w:val="-10"/>
          <w:kern w:val="28"/>
          <w:szCs w:val="28"/>
          <w:lang w:bidi="th-TH"/>
        </w:rPr>
        <w:t>The title should be concise, omitting terms that are implicit and, where possible, be a statement of the main result or conclusion presented in the manuscript. Abbreviations should be avoided within the title.</w:t>
      </w:r>
    </w:p>
    <w:p w14:paraId="48BDBC61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2"/>
          <w:szCs w:val="28"/>
          <w:lang w:bidi="th-TH"/>
        </w:rPr>
      </w:pPr>
    </w:p>
    <w:p w14:paraId="31F0BE10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i/>
          <w:iCs/>
          <w:szCs w:val="32"/>
          <w:vertAlign w:val="superscript"/>
          <w:lang w:bidi="th-TH"/>
        </w:rPr>
      </w:pPr>
      <w:r w:rsidRPr="00B85ECD">
        <w:rPr>
          <w:rFonts w:eastAsia="Calibri"/>
          <w:i/>
          <w:iCs/>
          <w:szCs w:val="32"/>
          <w:lang w:bidi="th-TH"/>
        </w:rPr>
        <w:t>Author 1 First name Last name</w:t>
      </w:r>
      <w:r w:rsidRPr="00B85ECD">
        <w:rPr>
          <w:rFonts w:eastAsia="Calibri"/>
          <w:i/>
          <w:iCs/>
          <w:szCs w:val="32"/>
          <w:vertAlign w:val="superscript"/>
          <w:lang w:bidi="th-TH"/>
        </w:rPr>
        <w:t>1</w:t>
      </w:r>
      <w:r w:rsidRPr="00B85ECD">
        <w:rPr>
          <w:rFonts w:eastAsia="Calibri"/>
          <w:i/>
          <w:iCs/>
          <w:szCs w:val="32"/>
          <w:lang w:bidi="th-TH"/>
        </w:rPr>
        <w:t>, Author 2 First name Last name</w:t>
      </w:r>
      <w:r w:rsidRPr="00B85ECD">
        <w:rPr>
          <w:rFonts w:eastAsia="Calibri"/>
          <w:i/>
          <w:iCs/>
          <w:szCs w:val="32"/>
          <w:vertAlign w:val="superscript"/>
          <w:lang w:bidi="th-TH"/>
        </w:rPr>
        <w:t>2</w:t>
      </w:r>
      <w:r w:rsidRPr="00B85ECD">
        <w:rPr>
          <w:rFonts w:eastAsia="Calibri"/>
          <w:i/>
          <w:iCs/>
          <w:szCs w:val="32"/>
          <w:lang w:bidi="th-TH"/>
        </w:rPr>
        <w:t>, Author 3 First name Last name</w:t>
      </w:r>
      <w:r w:rsidRPr="00B85ECD">
        <w:rPr>
          <w:rFonts w:eastAsia="Calibri"/>
          <w:i/>
          <w:iCs/>
          <w:szCs w:val="32"/>
          <w:vertAlign w:val="superscript"/>
          <w:lang w:bidi="th-TH"/>
        </w:rPr>
        <w:t>3</w:t>
      </w:r>
      <w:r w:rsidRPr="00B85ECD">
        <w:rPr>
          <w:rFonts w:eastAsia="Calibri"/>
          <w:i/>
          <w:iCs/>
          <w:szCs w:val="32"/>
          <w:lang w:bidi="th-TH"/>
        </w:rPr>
        <w:t>, Author 4 First name Last name</w:t>
      </w:r>
      <w:r w:rsidRPr="00B85ECD">
        <w:rPr>
          <w:rFonts w:eastAsia="Calibri"/>
          <w:i/>
          <w:iCs/>
          <w:szCs w:val="32"/>
          <w:vertAlign w:val="superscript"/>
          <w:lang w:bidi="th-TH"/>
        </w:rPr>
        <w:t>4*</w:t>
      </w:r>
    </w:p>
    <w:p w14:paraId="7BB84A12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i/>
          <w:iCs/>
          <w:szCs w:val="32"/>
          <w:vertAlign w:val="superscript"/>
          <w:lang w:bidi="th-TH"/>
        </w:rPr>
      </w:pPr>
    </w:p>
    <w:p w14:paraId="67FE81B5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0"/>
          <w:szCs w:val="24"/>
          <w:lang w:bidi="th-TH"/>
        </w:rPr>
      </w:pPr>
      <w:r w:rsidRPr="00B85ECD">
        <w:rPr>
          <w:rFonts w:eastAsia="Calibri"/>
          <w:sz w:val="20"/>
          <w:szCs w:val="24"/>
          <w:vertAlign w:val="superscript"/>
          <w:lang w:bidi="th-TH"/>
        </w:rPr>
        <w:t>1</w:t>
      </w:r>
      <w:r w:rsidRPr="00B85ECD">
        <w:rPr>
          <w:rFonts w:eastAsia="Calibri"/>
          <w:sz w:val="20"/>
          <w:szCs w:val="24"/>
          <w:lang w:bidi="th-TH"/>
        </w:rPr>
        <w:t>Institute X, Department X, Organization X, City X, State/Province XX, Country</w:t>
      </w:r>
    </w:p>
    <w:p w14:paraId="29C2EF9F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0"/>
          <w:szCs w:val="24"/>
          <w:lang w:bidi="th-TH"/>
        </w:rPr>
      </w:pPr>
      <w:r w:rsidRPr="00B85ECD">
        <w:rPr>
          <w:rFonts w:eastAsia="Calibri"/>
          <w:sz w:val="20"/>
          <w:szCs w:val="24"/>
          <w:vertAlign w:val="superscript"/>
          <w:lang w:bidi="th-TH"/>
        </w:rPr>
        <w:t>2</w:t>
      </w:r>
      <w:r w:rsidRPr="00B85ECD">
        <w:rPr>
          <w:rFonts w:eastAsia="Calibri"/>
          <w:sz w:val="20"/>
          <w:szCs w:val="24"/>
          <w:lang w:bidi="th-TH"/>
        </w:rPr>
        <w:t>Institute X, Department X, Organization X, City X, State/Province XX, Country</w:t>
      </w:r>
    </w:p>
    <w:p w14:paraId="366F6BB2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0"/>
          <w:szCs w:val="24"/>
          <w:lang w:bidi="th-TH"/>
        </w:rPr>
      </w:pPr>
      <w:r w:rsidRPr="00B85ECD">
        <w:rPr>
          <w:rFonts w:eastAsia="Calibri"/>
          <w:sz w:val="20"/>
          <w:szCs w:val="24"/>
          <w:vertAlign w:val="superscript"/>
          <w:lang w:bidi="th-TH"/>
        </w:rPr>
        <w:t>3</w:t>
      </w:r>
      <w:r w:rsidRPr="00B85ECD">
        <w:rPr>
          <w:rFonts w:eastAsia="Calibri"/>
          <w:sz w:val="20"/>
          <w:szCs w:val="24"/>
          <w:lang w:bidi="th-TH"/>
        </w:rPr>
        <w:t>Institute X, Department X, Organization X, City X, State/Province XX, Country</w:t>
      </w:r>
    </w:p>
    <w:p w14:paraId="6B8369B2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0"/>
          <w:szCs w:val="24"/>
          <w:lang w:bidi="th-TH"/>
        </w:rPr>
      </w:pPr>
      <w:r w:rsidRPr="00B85ECD">
        <w:rPr>
          <w:rFonts w:eastAsia="Calibri"/>
          <w:sz w:val="20"/>
          <w:szCs w:val="24"/>
          <w:vertAlign w:val="superscript"/>
          <w:lang w:bidi="th-TH"/>
        </w:rPr>
        <w:t>4</w:t>
      </w:r>
      <w:r w:rsidRPr="00B85ECD">
        <w:rPr>
          <w:rFonts w:eastAsia="Calibri"/>
          <w:sz w:val="20"/>
          <w:szCs w:val="24"/>
          <w:lang w:bidi="th-TH"/>
        </w:rPr>
        <w:t>Institute X, Department X, Organization X, City X, State/Province XX, Country</w:t>
      </w:r>
    </w:p>
    <w:p w14:paraId="2B7AD04B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2"/>
          <w:szCs w:val="28"/>
          <w:lang w:bidi="th-TH"/>
        </w:rPr>
      </w:pPr>
    </w:p>
    <w:p w14:paraId="2195A630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2"/>
          <w:szCs w:val="28"/>
          <w:u w:val="single"/>
          <w:lang w:bidi="th-TH"/>
        </w:rPr>
      </w:pPr>
      <w:r w:rsidRPr="00B85ECD">
        <w:rPr>
          <w:rFonts w:eastAsia="Calibri"/>
          <w:sz w:val="22"/>
          <w:szCs w:val="28"/>
          <w:u w:val="single"/>
          <w:vertAlign w:val="superscript"/>
          <w:lang w:bidi="th-TH"/>
        </w:rPr>
        <w:t>*</w:t>
      </w:r>
      <w:r w:rsidRPr="00B85ECD">
        <w:rPr>
          <w:rFonts w:eastAsia="Calibri"/>
          <w:sz w:val="22"/>
          <w:szCs w:val="28"/>
          <w:u w:val="single"/>
          <w:lang w:bidi="th-TH"/>
        </w:rPr>
        <w:t>Correspondence:</w:t>
      </w:r>
    </w:p>
    <w:p w14:paraId="05154A38" w14:textId="7777777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2"/>
          <w:szCs w:val="28"/>
          <w:lang w:bidi="th-TH"/>
        </w:rPr>
      </w:pPr>
      <w:r w:rsidRPr="00B85ECD">
        <w:rPr>
          <w:rFonts w:eastAsia="Calibri"/>
          <w:sz w:val="22"/>
          <w:szCs w:val="28"/>
          <w:lang w:bidi="th-TH"/>
        </w:rPr>
        <w:t>Corresponding author name</w:t>
      </w:r>
    </w:p>
    <w:p w14:paraId="1CCD0476" w14:textId="37AEB507" w:rsidR="00B85ECD" w:rsidRPr="00B85ECD" w:rsidRDefault="00B85ECD" w:rsidP="000A0E25">
      <w:pPr>
        <w:spacing w:before="120" w:after="120" w:line="240" w:lineRule="auto"/>
        <w:jc w:val="center"/>
        <w:rPr>
          <w:rFonts w:eastAsia="Calibri"/>
          <w:sz w:val="22"/>
          <w:szCs w:val="28"/>
          <w:lang w:bidi="th-TH"/>
        </w:rPr>
      </w:pPr>
      <w:r w:rsidRPr="00B85ECD">
        <w:rPr>
          <w:rFonts w:eastAsia="Calibri"/>
          <w:sz w:val="22"/>
          <w:szCs w:val="28"/>
          <w:lang w:bidi="th-TH"/>
        </w:rPr>
        <w:t xml:space="preserve">Email: </w:t>
      </w:r>
      <w:hyperlink r:id="rId8" w:history="1">
        <w:r w:rsidRPr="00B85ECD">
          <w:rPr>
            <w:rFonts w:eastAsia="Calibri"/>
            <w:color w:val="0563C1"/>
            <w:sz w:val="22"/>
            <w:szCs w:val="28"/>
            <w:u w:val="single"/>
            <w:lang w:bidi="th-TH"/>
          </w:rPr>
          <w:t>email@uni.edu</w:t>
        </w:r>
      </w:hyperlink>
    </w:p>
    <w:p w14:paraId="6FF1793A" w14:textId="77777777" w:rsidR="00B85ECD" w:rsidRPr="00B85ECD" w:rsidRDefault="00B85ECD" w:rsidP="000A0E25">
      <w:pPr>
        <w:spacing w:before="120" w:after="120" w:line="240" w:lineRule="auto"/>
        <w:jc w:val="both"/>
        <w:rPr>
          <w:rFonts w:eastAsia="Calibri"/>
          <w:sz w:val="20"/>
          <w:szCs w:val="24"/>
          <w:lang w:bidi="th-TH"/>
        </w:rPr>
      </w:pPr>
    </w:p>
    <w:p w14:paraId="511B5EC5" w14:textId="7FCCFB08" w:rsidR="005B0EC6" w:rsidRPr="008D4F7C" w:rsidRDefault="006012B1" w:rsidP="000A0E25">
      <w:pPr>
        <w:pStyle w:val="Heading1"/>
        <w:spacing w:after="240"/>
        <w:jc w:val="left"/>
      </w:pPr>
      <w:r w:rsidRPr="008D4F7C">
        <w:t>Introduction</w:t>
      </w:r>
      <w:r w:rsidR="005B0EC6" w:rsidRPr="008D4F7C">
        <w:t xml:space="preserve"> </w:t>
      </w:r>
    </w:p>
    <w:p w14:paraId="60186A8D" w14:textId="6167534A" w:rsidR="00390F21" w:rsidRDefault="005514C6" w:rsidP="000A0E25">
      <w:pPr>
        <w:spacing w:before="120" w:after="120" w:line="240" w:lineRule="auto"/>
        <w:jc w:val="both"/>
        <w:rPr>
          <w:lang w:val="en-GB"/>
        </w:rPr>
      </w:pPr>
      <w:r>
        <w:rPr>
          <w:lang w:val="en-GB"/>
        </w:rPr>
        <w:t xml:space="preserve">Upon the approvals from the Committee, authors will be invited to submit their </w:t>
      </w:r>
      <w:r w:rsidR="00896C2F">
        <w:rPr>
          <w:lang w:val="en-GB"/>
        </w:rPr>
        <w:t>best practice brief paper</w:t>
      </w:r>
      <w:r>
        <w:rPr>
          <w:lang w:val="en-GB"/>
        </w:rPr>
        <w:t xml:space="preserve">. </w:t>
      </w:r>
      <w:r w:rsidR="00896C2F">
        <w:rPr>
          <w:lang w:val="en-GB"/>
        </w:rPr>
        <w:t>Best practice brief</w:t>
      </w:r>
      <w:r w:rsidR="00390F21">
        <w:rPr>
          <w:lang w:val="en-GB"/>
        </w:rPr>
        <w:t xml:space="preserve"> is an extended form of abstract submitted to </w:t>
      </w:r>
      <w:r w:rsidR="005D5DE5">
        <w:rPr>
          <w:lang w:val="en-GB"/>
        </w:rPr>
        <w:t>SEAPAC2025</w:t>
      </w:r>
      <w:r>
        <w:rPr>
          <w:lang w:val="en-GB"/>
        </w:rPr>
        <w:t xml:space="preserve"> where the authors</w:t>
      </w:r>
      <w:r w:rsidR="00596512">
        <w:rPr>
          <w:lang w:val="en-GB"/>
        </w:rPr>
        <w:t xml:space="preserve"> are allowed to explain</w:t>
      </w:r>
      <w:r w:rsidR="008D4F7C">
        <w:rPr>
          <w:lang w:val="en-GB"/>
        </w:rPr>
        <w:t xml:space="preserve"> their </w:t>
      </w:r>
      <w:r w:rsidR="00896C2F">
        <w:rPr>
          <w:lang w:val="en-GB"/>
        </w:rPr>
        <w:t>program</w:t>
      </w:r>
      <w:r w:rsidR="008D4F7C">
        <w:rPr>
          <w:lang w:val="en-GB"/>
        </w:rPr>
        <w:t xml:space="preserve"> </w:t>
      </w:r>
      <w:r w:rsidR="00596512">
        <w:rPr>
          <w:lang w:val="en-GB"/>
        </w:rPr>
        <w:t xml:space="preserve">in more details, </w:t>
      </w:r>
      <w:r>
        <w:rPr>
          <w:lang w:val="en-GB"/>
        </w:rPr>
        <w:t xml:space="preserve">but </w:t>
      </w:r>
      <w:r w:rsidRPr="0098453D">
        <w:rPr>
          <w:color w:val="FF0000"/>
          <w:lang w:val="en-GB"/>
        </w:rPr>
        <w:t>not over than</w:t>
      </w:r>
      <w:r w:rsidR="00596512" w:rsidRPr="0098453D">
        <w:rPr>
          <w:color w:val="FF0000"/>
          <w:lang w:val="en-GB"/>
        </w:rPr>
        <w:t xml:space="preserve"> 2000 words </w:t>
      </w:r>
      <w:r w:rsidR="00596512">
        <w:rPr>
          <w:lang w:val="en-GB"/>
        </w:rPr>
        <w:t>(exclud</w:t>
      </w:r>
      <w:r w:rsidR="008D4F7C">
        <w:rPr>
          <w:lang w:val="en-GB"/>
        </w:rPr>
        <w:t>ing</w:t>
      </w:r>
      <w:r w:rsidR="00596512">
        <w:rPr>
          <w:lang w:val="en-GB"/>
        </w:rPr>
        <w:t xml:space="preserve"> reference, table, and figures). </w:t>
      </w:r>
      <w:r w:rsidR="00896C2F">
        <w:rPr>
          <w:lang w:val="en-GB"/>
        </w:rPr>
        <w:t>Best practice</w:t>
      </w:r>
      <w:r w:rsidR="003F7A37">
        <w:rPr>
          <w:lang w:val="en-GB"/>
        </w:rPr>
        <w:t xml:space="preserve"> brief should be typed in document processing for</w:t>
      </w:r>
      <w:r w:rsidR="009C76A7">
        <w:rPr>
          <w:lang w:val="en-GB"/>
        </w:rPr>
        <w:t>mats</w:t>
      </w:r>
      <w:r w:rsidR="003F7A37">
        <w:rPr>
          <w:lang w:val="en-GB"/>
        </w:rPr>
        <w:t xml:space="preserve"> (doc, docx), single spaced, </w:t>
      </w:r>
      <w:r w:rsidR="000303A0">
        <w:rPr>
          <w:lang w:val="en-GB"/>
        </w:rPr>
        <w:t xml:space="preserve">justified, </w:t>
      </w:r>
      <w:r w:rsidR="003F7A37">
        <w:rPr>
          <w:lang w:val="en-GB"/>
        </w:rPr>
        <w:t>and normal margin</w:t>
      </w:r>
      <w:r w:rsidR="006C0F6D">
        <w:rPr>
          <w:lang w:val="en-GB"/>
        </w:rPr>
        <w:t xml:space="preserve"> (2.5 inch)</w:t>
      </w:r>
      <w:r w:rsidR="003F7A37">
        <w:rPr>
          <w:lang w:val="en-GB"/>
        </w:rPr>
        <w:t xml:space="preserve"> </w:t>
      </w:r>
      <w:r w:rsidR="000303A0">
        <w:rPr>
          <w:lang w:val="en-GB"/>
        </w:rPr>
        <w:t>in</w:t>
      </w:r>
      <w:r w:rsidR="003F7A37">
        <w:rPr>
          <w:lang w:val="en-GB"/>
        </w:rPr>
        <w:t xml:space="preserve"> all sides. </w:t>
      </w:r>
    </w:p>
    <w:p w14:paraId="1C19927A" w14:textId="6E78EF3C" w:rsidR="00174E83" w:rsidRDefault="008D4F7C" w:rsidP="000A0E25">
      <w:pPr>
        <w:spacing w:before="120" w:after="120" w:line="240" w:lineRule="auto"/>
        <w:jc w:val="both"/>
      </w:pPr>
      <w:r>
        <w:rPr>
          <w:lang w:val="en-GB"/>
        </w:rPr>
        <w:t>The introduction should consist of</w:t>
      </w:r>
      <w:r w:rsidR="005514C6" w:rsidRPr="005514C6">
        <w:t xml:space="preserve"> </w:t>
      </w:r>
      <w:r w:rsidR="00CF6792">
        <w:t xml:space="preserve">1) </w:t>
      </w:r>
      <w:r w:rsidR="00896C2F">
        <w:t xml:space="preserve">the background of the </w:t>
      </w:r>
      <w:r w:rsidR="00CF6792">
        <w:t xml:space="preserve">chosen </w:t>
      </w:r>
      <w:r w:rsidR="00896C2F">
        <w:t>program/</w:t>
      </w:r>
      <w:r w:rsidR="00CF6792">
        <w:t xml:space="preserve"> project/ </w:t>
      </w:r>
      <w:r w:rsidR="00896C2F">
        <w:t>intervention</w:t>
      </w:r>
      <w:r w:rsidR="00CF6792">
        <w:t xml:space="preserve">, 2) </w:t>
      </w:r>
      <w:r w:rsidR="00CF6792" w:rsidRPr="00CF6792">
        <w:t>magnitude of the problem in the community and the gaps between the existing program/policy and community expectations</w:t>
      </w:r>
      <w:r w:rsidR="00CF6792">
        <w:t>, 3) why it was designed</w:t>
      </w:r>
      <w:r w:rsidR="00174E83">
        <w:t xml:space="preserve"> and why it was considered important. </w:t>
      </w:r>
      <w:r w:rsidR="00CF6792">
        <w:t xml:space="preserve"> </w:t>
      </w:r>
      <w:r w:rsidR="00896C2F">
        <w:t xml:space="preserve"> </w:t>
      </w:r>
    </w:p>
    <w:p w14:paraId="71E1C2DC" w14:textId="77777777" w:rsidR="00174E83" w:rsidRPr="00F6224D" w:rsidRDefault="00174E83" w:rsidP="000A0E25">
      <w:pPr>
        <w:spacing w:before="120" w:after="120" w:line="240" w:lineRule="auto"/>
        <w:jc w:val="both"/>
      </w:pPr>
    </w:p>
    <w:p w14:paraId="69C86E28" w14:textId="58DF69EE" w:rsidR="00174E83" w:rsidRPr="00174E83" w:rsidRDefault="00174E83" w:rsidP="000A0E25">
      <w:pPr>
        <w:spacing w:line="240" w:lineRule="auto"/>
        <w:jc w:val="both"/>
        <w:rPr>
          <w:rFonts w:ascii="Arial" w:hAnsi="Arial"/>
          <w:b/>
          <w:spacing w:val="5"/>
          <w:sz w:val="32"/>
          <w:szCs w:val="36"/>
          <w:lang w:val="en-GB"/>
        </w:rPr>
      </w:pPr>
      <w:r w:rsidRPr="00174E83">
        <w:rPr>
          <w:rFonts w:ascii="Arial" w:hAnsi="Arial"/>
          <w:b/>
          <w:spacing w:val="5"/>
          <w:sz w:val="32"/>
          <w:szCs w:val="36"/>
          <w:lang w:val="en-GB"/>
        </w:rPr>
        <w:t xml:space="preserve">Program/project implementation </w:t>
      </w:r>
    </w:p>
    <w:p w14:paraId="385FCDD6" w14:textId="49F67AC9" w:rsidR="000303A0" w:rsidRDefault="00174E83" w:rsidP="000A0E25">
      <w:pPr>
        <w:spacing w:line="240" w:lineRule="auto"/>
        <w:jc w:val="both"/>
        <w:rPr>
          <w:szCs w:val="24"/>
        </w:rPr>
      </w:pPr>
      <w:r>
        <w:t>Describe the program/project/intervention history, aims, key activities, structure organization (if applicable), roles of community members and local organization/government, duration of program/project, funding, monitoring and evaluation.</w:t>
      </w:r>
    </w:p>
    <w:p w14:paraId="30940751" w14:textId="71BA1243" w:rsidR="000303A0" w:rsidRDefault="009C76A7" w:rsidP="000A0E25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Sub-headings are </w:t>
      </w:r>
      <w:r w:rsidR="007D486D">
        <w:rPr>
          <w:szCs w:val="24"/>
        </w:rPr>
        <w:t>recommended to be used.</w:t>
      </w:r>
    </w:p>
    <w:p w14:paraId="4168639C" w14:textId="64FCFA3C" w:rsidR="009C76A7" w:rsidRPr="0067373E" w:rsidRDefault="00174E83" w:rsidP="000A0E25">
      <w:pPr>
        <w:pStyle w:val="Heading3"/>
        <w:spacing w:line="240" w:lineRule="auto"/>
      </w:pPr>
      <w:r>
        <w:t>History</w:t>
      </w:r>
    </w:p>
    <w:p w14:paraId="6E1A8559" w14:textId="2C4FD228" w:rsidR="007D486D" w:rsidRDefault="00174E83" w:rsidP="000A0E25">
      <w:pPr>
        <w:spacing w:line="240" w:lineRule="auto"/>
      </w:pPr>
      <w:r>
        <w:t xml:space="preserve">Briefly describe the history of the </w:t>
      </w:r>
      <w:r w:rsidRPr="00174E83">
        <w:t>program/project/intervention</w:t>
      </w:r>
      <w:r>
        <w:t xml:space="preserve">. Who was the initiator? Who participated in the development? Describe the process of the development and the key milestone of the </w:t>
      </w:r>
      <w:r w:rsidRPr="00174E83">
        <w:t>program/project/intervention</w:t>
      </w:r>
      <w:r>
        <w:t xml:space="preserve">. </w:t>
      </w:r>
    </w:p>
    <w:p w14:paraId="0F302EA3" w14:textId="0ACA219A" w:rsidR="007D486D" w:rsidRPr="0067373E" w:rsidRDefault="00174E83" w:rsidP="000A0E25">
      <w:pPr>
        <w:pStyle w:val="Heading3"/>
        <w:spacing w:line="240" w:lineRule="auto"/>
      </w:pPr>
      <w:r>
        <w:lastRenderedPageBreak/>
        <w:t>Aims</w:t>
      </w:r>
    </w:p>
    <w:p w14:paraId="1EC5CB1F" w14:textId="0720EE16" w:rsidR="007D486D" w:rsidRDefault="00174E83" w:rsidP="000A0E25">
      <w:pPr>
        <w:spacing w:line="240" w:lineRule="auto"/>
      </w:pPr>
      <w:r>
        <w:t>Describe the target</w:t>
      </w:r>
      <w:r w:rsidR="00F86E5B">
        <w:t xml:space="preserve"> a</w:t>
      </w:r>
      <w:r>
        <w:t xml:space="preserve">nd objectives of the </w:t>
      </w:r>
      <w:r w:rsidRPr="00174E83">
        <w:t>program/project/intervention</w:t>
      </w:r>
      <w:r>
        <w:t>.</w:t>
      </w:r>
    </w:p>
    <w:p w14:paraId="02C46A1D" w14:textId="70F14012" w:rsidR="0067373E" w:rsidRPr="0067373E" w:rsidRDefault="00174E83" w:rsidP="000A0E25">
      <w:pPr>
        <w:pStyle w:val="Heading3"/>
        <w:spacing w:line="240" w:lineRule="auto"/>
      </w:pPr>
      <w:r>
        <w:t>Key activities</w:t>
      </w:r>
    </w:p>
    <w:p w14:paraId="1E553D31" w14:textId="25DB50C4" w:rsidR="0067373E" w:rsidRPr="0067373E" w:rsidRDefault="00174E83" w:rsidP="000A0E25">
      <w:pPr>
        <w:spacing w:line="240" w:lineRule="auto"/>
      </w:pPr>
      <w:r>
        <w:t xml:space="preserve">Describe the key activities of the </w:t>
      </w:r>
      <w:r w:rsidRPr="00174E83">
        <w:t>program/project/intervention</w:t>
      </w:r>
      <w:r>
        <w:t xml:space="preserve">, the target audience of each activity, and the </w:t>
      </w:r>
      <w:r w:rsidR="00F86E5B">
        <w:t>objectives</w:t>
      </w:r>
      <w:r>
        <w:t xml:space="preserve"> of each activity. </w:t>
      </w:r>
      <w:r w:rsidR="00F86E5B">
        <w:t>Please a</w:t>
      </w:r>
      <w:r w:rsidR="00615940">
        <w:t>lso</w:t>
      </w:r>
      <w:r w:rsidR="00F86E5B">
        <w:t xml:space="preserve"> describe</w:t>
      </w:r>
      <w:r w:rsidR="00615940">
        <w:t xml:space="preserve"> the duration of the </w:t>
      </w:r>
      <w:r w:rsidR="00615940" w:rsidRPr="00615940">
        <w:t>program/</w:t>
      </w:r>
      <w:r w:rsidR="00F86E5B">
        <w:t xml:space="preserve"> </w:t>
      </w:r>
      <w:r w:rsidR="00615940" w:rsidRPr="00615940">
        <w:t>project/</w:t>
      </w:r>
      <w:r w:rsidR="00F86E5B">
        <w:t xml:space="preserve"> </w:t>
      </w:r>
      <w:r w:rsidR="00615940" w:rsidRPr="00615940">
        <w:t>intervention</w:t>
      </w:r>
      <w:r w:rsidR="00615940">
        <w:t>.</w:t>
      </w:r>
    </w:p>
    <w:p w14:paraId="02855A36" w14:textId="68C9C4E8" w:rsidR="0067373E" w:rsidRPr="0067373E" w:rsidRDefault="00174E83" w:rsidP="000A0E25">
      <w:pPr>
        <w:pStyle w:val="Heading3"/>
        <w:spacing w:line="240" w:lineRule="auto"/>
      </w:pPr>
      <w:r>
        <w:t xml:space="preserve">Structure organization </w:t>
      </w:r>
    </w:p>
    <w:p w14:paraId="37FC786B" w14:textId="5B855A03" w:rsidR="0067373E" w:rsidRPr="0067373E" w:rsidRDefault="00174E83" w:rsidP="000A0E25">
      <w:pPr>
        <w:spacing w:line="240" w:lineRule="auto"/>
      </w:pPr>
      <w:r>
        <w:t xml:space="preserve">Describe the organization of the </w:t>
      </w:r>
      <w:r w:rsidRPr="00174E83">
        <w:t>program/project/intervention</w:t>
      </w:r>
      <w:r>
        <w:t xml:space="preserve">, and the responsibility of each member. </w:t>
      </w:r>
      <w:r w:rsidR="00615940">
        <w:t xml:space="preserve">Please also describe the </w:t>
      </w:r>
      <w:r w:rsidR="00615940" w:rsidRPr="00615940">
        <w:t>roles of community members and local organization/</w:t>
      </w:r>
      <w:r w:rsidR="00615940">
        <w:t xml:space="preserve"> </w:t>
      </w:r>
      <w:r w:rsidR="00615940" w:rsidRPr="00615940">
        <w:t>government</w:t>
      </w:r>
      <w:r w:rsidR="000A0E25">
        <w:t xml:space="preserve">, and funding support. </w:t>
      </w:r>
    </w:p>
    <w:p w14:paraId="0492718D" w14:textId="15B6F2F2" w:rsidR="0067373E" w:rsidRDefault="00615940" w:rsidP="000A0E25">
      <w:pPr>
        <w:pStyle w:val="Heading3"/>
        <w:spacing w:line="240" w:lineRule="auto"/>
      </w:pPr>
      <w:r>
        <w:t>Monitoring and evaluation</w:t>
      </w:r>
    </w:p>
    <w:p w14:paraId="61AEA682" w14:textId="72471A75" w:rsidR="00F6224D" w:rsidRPr="00B034D1" w:rsidRDefault="00615940" w:rsidP="000A0E25">
      <w:pPr>
        <w:spacing w:line="240" w:lineRule="auto"/>
      </w:pPr>
      <w:r>
        <w:t xml:space="preserve">Describe the methods to monitor and evaluate the progress of the </w:t>
      </w:r>
      <w:r w:rsidRPr="00615940">
        <w:t>program/project/</w:t>
      </w:r>
      <w:r>
        <w:t xml:space="preserve"> </w:t>
      </w:r>
      <w:r w:rsidRPr="00615940">
        <w:t>intervention</w:t>
      </w:r>
      <w:r>
        <w:t xml:space="preserve"> and who is responsible in this task. </w:t>
      </w:r>
    </w:p>
    <w:p w14:paraId="49D40979" w14:textId="77B672C9" w:rsidR="005B0EC6" w:rsidRPr="00B85ECD" w:rsidRDefault="00615940" w:rsidP="000A0E25">
      <w:pPr>
        <w:pStyle w:val="Heading1"/>
        <w:spacing w:after="240"/>
        <w:jc w:val="left"/>
      </w:pPr>
      <w:r>
        <w:t>Lesson learned</w:t>
      </w:r>
    </w:p>
    <w:p w14:paraId="7E78A708" w14:textId="791E7079" w:rsidR="00615940" w:rsidRDefault="00615940" w:rsidP="000A0E25">
      <w:pPr>
        <w:spacing w:line="240" w:lineRule="auto"/>
        <w:jc w:val="both"/>
      </w:pPr>
      <w:r>
        <w:t xml:space="preserve">Describe the </w:t>
      </w:r>
      <w:r w:rsidRPr="00615940">
        <w:t>major achievements, challenges in implementation, community responses,</w:t>
      </w:r>
      <w:r>
        <w:t xml:space="preserve"> and</w:t>
      </w:r>
      <w:r w:rsidRPr="00615940">
        <w:t xml:space="preserve"> future programs recommendation</w:t>
      </w:r>
      <w:r>
        <w:t>.</w:t>
      </w:r>
    </w:p>
    <w:p w14:paraId="34AE2FF5" w14:textId="4302FE2E" w:rsidR="00615940" w:rsidRDefault="007D486D" w:rsidP="000A0E25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Whenever possible, organize the </w:t>
      </w:r>
      <w:r w:rsidR="00615940">
        <w:rPr>
          <w:szCs w:val="24"/>
        </w:rPr>
        <w:t>lesson learned</w:t>
      </w:r>
      <w:r>
        <w:rPr>
          <w:szCs w:val="24"/>
        </w:rPr>
        <w:t xml:space="preserve"> in several sections by using sub-headings.</w:t>
      </w:r>
    </w:p>
    <w:p w14:paraId="18EC8888" w14:textId="6EAC0766" w:rsidR="007D486D" w:rsidRPr="007D486D" w:rsidRDefault="007D486D" w:rsidP="000A0E25">
      <w:pPr>
        <w:pStyle w:val="Heading3"/>
        <w:spacing w:line="240" w:lineRule="auto"/>
        <w:rPr>
          <w:b/>
          <w:bCs/>
        </w:rPr>
      </w:pPr>
      <w:r w:rsidRPr="009C76A7">
        <w:rPr>
          <w:b/>
          <w:bCs/>
        </w:rPr>
        <w:t xml:space="preserve">Sub-heading </w:t>
      </w:r>
    </w:p>
    <w:p w14:paraId="3387966F" w14:textId="2F20B10D" w:rsidR="000303A0" w:rsidRDefault="000303A0" w:rsidP="000A0E25">
      <w:pPr>
        <w:spacing w:before="120" w:after="120" w:line="240" w:lineRule="auto"/>
        <w:jc w:val="both"/>
      </w:pPr>
      <w:r>
        <w:t xml:space="preserve">A maximum of 2 tables and 2 figures are allowed to be displayed in </w:t>
      </w:r>
      <w:r w:rsidR="000A0E25">
        <w:t>best practice</w:t>
      </w:r>
      <w:r>
        <w:t xml:space="preserve"> brief. </w:t>
      </w:r>
      <w:r w:rsidR="008F7C57">
        <w:t xml:space="preserve">Table should be placed immediately after the text corresponds to it. Abbreviation and notes should be placed as table foot notes. </w:t>
      </w:r>
      <w:r>
        <w:t>Please see example.</w:t>
      </w:r>
      <w:r w:rsidR="00E769A3">
        <w:t xml:space="preserve"> </w:t>
      </w:r>
    </w:p>
    <w:p w14:paraId="2237E34C" w14:textId="77777777" w:rsidR="008F7C57" w:rsidRPr="008F7C57" w:rsidRDefault="008F7C57" w:rsidP="000A0E25">
      <w:pPr>
        <w:spacing w:after="0" w:line="240" w:lineRule="auto"/>
        <w:rPr>
          <w:rFonts w:eastAsia="Calibri"/>
          <w:b/>
          <w:bCs/>
          <w:szCs w:val="24"/>
          <w:lang w:bidi="ar-SA"/>
        </w:rPr>
      </w:pPr>
    </w:p>
    <w:p w14:paraId="6FDE2F5A" w14:textId="20EB50BE" w:rsidR="008F7C57" w:rsidRDefault="008F7C57" w:rsidP="000A0E25">
      <w:pPr>
        <w:keepNext/>
        <w:keepLines/>
        <w:spacing w:before="40" w:after="0" w:line="240" w:lineRule="auto"/>
        <w:outlineLvl w:val="1"/>
        <w:rPr>
          <w:rFonts w:eastAsia="DengXian Light"/>
          <w:b/>
          <w:szCs w:val="24"/>
          <w:lang w:eastAsia="zh-CN" w:bidi="th-TH"/>
        </w:rPr>
      </w:pPr>
      <w:r w:rsidRPr="008F7C57">
        <w:rPr>
          <w:rFonts w:eastAsia="DengXian Light"/>
          <w:b/>
          <w:szCs w:val="24"/>
          <w:lang w:val="zh-CN" w:bidi="th-TH"/>
        </w:rPr>
        <w:t>Table 1</w:t>
      </w:r>
      <w:r w:rsidRPr="008F7C57">
        <w:rPr>
          <w:rFonts w:ascii="DengXian" w:eastAsia="DengXian" w:hAnsi="DengXian" w:cs="Cordia New"/>
          <w:b/>
          <w:sz w:val="16"/>
          <w:szCs w:val="16"/>
          <w:lang w:val="en-GB" w:bidi="th-TH"/>
        </w:rPr>
        <w:t xml:space="preserve">. </w:t>
      </w:r>
      <w:r w:rsidR="000A0E25">
        <w:rPr>
          <w:rFonts w:eastAsia="DengXian Light"/>
          <w:b/>
          <w:szCs w:val="24"/>
          <w:lang w:val="en-GB" w:bidi="th-TH"/>
        </w:rPr>
        <w:t>P</w:t>
      </w:r>
      <w:r w:rsidRPr="008F7C57">
        <w:rPr>
          <w:rFonts w:eastAsia="DengXian Light"/>
          <w:b/>
          <w:szCs w:val="24"/>
          <w:lang w:val="zh-CN" w:bidi="th-TH"/>
        </w:rPr>
        <w:t xml:space="preserve">articipants in the Thailand’s Surveillance of Physical Activity </w:t>
      </w:r>
      <w:r w:rsidRPr="008F7C57">
        <w:rPr>
          <w:rFonts w:eastAsia="DengXian Light"/>
          <w:b/>
          <w:szCs w:val="24"/>
          <w:lang w:bidi="th-TH"/>
        </w:rPr>
        <w:t xml:space="preserve">(SPA) </w:t>
      </w:r>
      <w:r w:rsidRPr="008F7C57">
        <w:rPr>
          <w:rFonts w:eastAsia="DengXian Light"/>
          <w:b/>
          <w:szCs w:val="24"/>
          <w:lang w:val="zh-CN" w:bidi="th-TH"/>
        </w:rPr>
        <w:t>2019 and 2020</w:t>
      </w:r>
      <w:r w:rsidRPr="008F7C57">
        <w:rPr>
          <w:rFonts w:eastAsia="DengXian Light" w:hint="eastAsia"/>
          <w:b/>
          <w:szCs w:val="24"/>
          <w:lang w:eastAsia="zh-CN" w:bidi="th-TH"/>
        </w:rPr>
        <w:t>. (Data presented as %(</w:t>
      </w:r>
      <w:r w:rsidRPr="008F7C57">
        <w:rPr>
          <w:rFonts w:eastAsia="DengXian Light" w:hint="eastAsia"/>
          <w:b/>
          <w:i/>
          <w:iCs/>
          <w:szCs w:val="24"/>
          <w:lang w:eastAsia="zh-CN" w:bidi="th-TH"/>
        </w:rPr>
        <w:t>n</w:t>
      </w:r>
      <w:r w:rsidRPr="008F7C57">
        <w:rPr>
          <w:rFonts w:eastAsia="DengXian Light" w:hint="eastAsia"/>
          <w:b/>
          <w:szCs w:val="24"/>
          <w:lang w:eastAsia="zh-CN" w:bidi="th-TH"/>
        </w:rPr>
        <w:t>))</w:t>
      </w:r>
    </w:p>
    <w:p w14:paraId="40EBE964" w14:textId="77777777" w:rsidR="008F7C57" w:rsidRPr="008F7C57" w:rsidRDefault="008F7C57" w:rsidP="000A0E25">
      <w:pPr>
        <w:keepNext/>
        <w:keepLines/>
        <w:spacing w:before="40" w:after="0" w:line="240" w:lineRule="auto"/>
        <w:outlineLvl w:val="1"/>
        <w:rPr>
          <w:rFonts w:ascii="DengXian" w:eastAsia="DengXian" w:hAnsi="DengXian" w:cs="Cordia New"/>
          <w:b/>
          <w:sz w:val="16"/>
          <w:szCs w:val="16"/>
          <w:lang w:val="en-GB" w:bidi="th-TH"/>
        </w:rPr>
      </w:pPr>
    </w:p>
    <w:tbl>
      <w:tblPr>
        <w:tblW w:w="13872" w:type="dxa"/>
        <w:tblLook w:val="04A0" w:firstRow="1" w:lastRow="0" w:firstColumn="1" w:lastColumn="0" w:noHBand="0" w:noVBand="1"/>
      </w:tblPr>
      <w:tblGrid>
        <w:gridCol w:w="4536"/>
        <w:gridCol w:w="2400"/>
        <w:gridCol w:w="2400"/>
        <w:gridCol w:w="4536"/>
      </w:tblGrid>
      <w:tr w:rsidR="008F7C57" w:rsidRPr="008F7C57" w14:paraId="72C811DA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B94C5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Variable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713D2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SPA</w:t>
            </w:r>
            <w:r w:rsidRPr="008F7C57">
              <w:rPr>
                <w:rFonts w:eastAsia="SimSun" w:hint="eastAsia"/>
                <w:color w:val="000000"/>
                <w:szCs w:val="24"/>
                <w:lang w:eastAsia="zh-CN" w:bidi="th-TH"/>
              </w:rPr>
              <w:t xml:space="preserve"> </w:t>
            </w: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2019</w:t>
            </w:r>
          </w:p>
          <w:p w14:paraId="5A60395A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(</w:t>
            </w:r>
            <w:r w:rsidRPr="008F7C57">
              <w:rPr>
                <w:rFonts w:eastAsia="Times New Roman"/>
                <w:i/>
                <w:iCs/>
                <w:color w:val="000000"/>
                <w:szCs w:val="24"/>
                <w:lang w:bidi="th-TH"/>
              </w:rPr>
              <w:t>n</w:t>
            </w:r>
            <w:r w:rsidRPr="008F7C57">
              <w:rPr>
                <w:rFonts w:eastAsia="SimSun" w:hint="eastAsia"/>
                <w:color w:val="000000"/>
                <w:szCs w:val="24"/>
                <w:lang w:eastAsia="zh-CN" w:bidi="th-TH"/>
              </w:rPr>
              <w:t xml:space="preserve"> </w:t>
            </w: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= 4460)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51846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SPA</w:t>
            </w:r>
            <w:r w:rsidRPr="008F7C57">
              <w:rPr>
                <w:rFonts w:eastAsia="SimSun" w:hint="eastAsia"/>
                <w:color w:val="000000"/>
                <w:szCs w:val="24"/>
                <w:lang w:eastAsia="zh-CN" w:bidi="th-TH"/>
              </w:rPr>
              <w:t xml:space="preserve"> </w:t>
            </w: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2020</w:t>
            </w:r>
          </w:p>
          <w:p w14:paraId="65010274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(</w:t>
            </w:r>
            <w:r w:rsidRPr="008F7C57">
              <w:rPr>
                <w:rFonts w:eastAsia="Times New Roman"/>
                <w:i/>
                <w:iCs/>
                <w:color w:val="000000"/>
                <w:szCs w:val="24"/>
                <w:lang w:bidi="th-TH"/>
              </w:rPr>
              <w:t>n</w:t>
            </w: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 xml:space="preserve"> = 4482)</w:t>
            </w:r>
          </w:p>
        </w:tc>
      </w:tr>
      <w:tr w:rsidR="008F7C57" w:rsidRPr="008F7C57" w14:paraId="0CB1F50E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1BFC0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Gender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5DD6D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szCs w:val="24"/>
                <w:lang w:bidi="th-TH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C6CAD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1464333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C326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Male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50F6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50.0 (2230)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C422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53.4 (2395)</w:t>
            </w:r>
          </w:p>
        </w:tc>
      </w:tr>
      <w:tr w:rsidR="008F7C57" w:rsidRPr="008F7C57" w14:paraId="096795E9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E20F8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Female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AF53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50.0 (2230)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9C5D6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46.6 (2087)</w:t>
            </w:r>
          </w:p>
        </w:tc>
      </w:tr>
      <w:tr w:rsidR="008F7C57" w:rsidRPr="008F7C57" w14:paraId="09B9A245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EC629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Age group (year)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0DC8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szCs w:val="24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60EF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79C1EAC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E4B1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Young adults (18</w:t>
            </w:r>
            <w:r w:rsidRPr="008F7C57">
              <w:rPr>
                <w:rFonts w:eastAsia="DengXian"/>
                <w:szCs w:val="24"/>
                <w:lang w:bidi="th-TH"/>
              </w:rPr>
              <w:t>–</w:t>
            </w: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39)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C39E8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43.6 (1946)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70CB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68.8 (3082)</w:t>
            </w:r>
          </w:p>
        </w:tc>
      </w:tr>
      <w:tr w:rsidR="008F7C57" w:rsidRPr="008F7C57" w14:paraId="4150D6CE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5FCA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Middle-aged adults (40</w:t>
            </w:r>
            <w:r w:rsidRPr="008F7C57">
              <w:rPr>
                <w:rFonts w:eastAsia="DengXian"/>
                <w:szCs w:val="24"/>
                <w:lang w:bidi="th-TH"/>
              </w:rPr>
              <w:t>–</w:t>
            </w: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64)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C8D8B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56.4 (2514)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EDA12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31.2 (1400)</w:t>
            </w:r>
          </w:p>
        </w:tc>
      </w:tr>
      <w:tr w:rsidR="008F7C57" w:rsidRPr="008F7C57" w14:paraId="754B052E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D76C0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Education level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7C65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szCs w:val="24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DDD98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1779F986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2A44E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Lower and primary education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2213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35.1 (1567)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5EF4B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8.4 (377)</w:t>
            </w:r>
          </w:p>
        </w:tc>
      </w:tr>
      <w:tr w:rsidR="008F7C57" w:rsidRPr="008F7C57" w14:paraId="0E84E2E1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4519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Secondary education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5AB7F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18.2 (809)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F1B1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12.5 (561)</w:t>
            </w:r>
          </w:p>
        </w:tc>
      </w:tr>
      <w:tr w:rsidR="008F7C57" w:rsidRPr="008F7C57" w14:paraId="00B0239D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8178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 xml:space="preserve">Post-secondary education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A71D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46.7 (2084)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F1186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79.1 (3544)</w:t>
            </w:r>
          </w:p>
        </w:tc>
      </w:tr>
      <w:tr w:rsidR="008F7C57" w:rsidRPr="008F7C57" w14:paraId="03E14D2A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30106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Occupation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057F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szCs w:val="24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8E99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5D1178CC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05F8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Student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E066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3.6 (162)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72B6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6.2 (280)</w:t>
            </w:r>
          </w:p>
        </w:tc>
      </w:tr>
      <w:tr w:rsidR="008F7C57" w:rsidRPr="008F7C57" w14:paraId="6D66F238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0B4C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Formal sector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0646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24.1 (1073)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96F5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21.7 (970)</w:t>
            </w:r>
          </w:p>
        </w:tc>
      </w:tr>
      <w:tr w:rsidR="008F7C57" w:rsidRPr="008F7C57" w14:paraId="0B6EF617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378C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Informal sector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AA3D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19.3 (862)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985C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34.9 (1562)</w:t>
            </w:r>
          </w:p>
        </w:tc>
      </w:tr>
      <w:tr w:rsidR="008F7C57" w:rsidRPr="008F7C57" w14:paraId="2A26C3B4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7CCA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Private enterprise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2035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20.9 (931)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6E65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21.2 (950)</w:t>
            </w:r>
          </w:p>
        </w:tc>
      </w:tr>
      <w:tr w:rsidR="008F7C57" w:rsidRPr="008F7C57" w14:paraId="5C073A1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E8DE9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lastRenderedPageBreak/>
              <w:t xml:space="preserve">Agriculture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6DBFE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15.9 (708)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6987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5.8 (262)</w:t>
            </w:r>
          </w:p>
        </w:tc>
      </w:tr>
      <w:tr w:rsidR="008F7C57" w:rsidRPr="008F7C57" w14:paraId="1BA70451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D0463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Unemployed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16FE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16.2 (723)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4DDA0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8.6 (387)</w:t>
            </w:r>
          </w:p>
        </w:tc>
      </w:tr>
      <w:tr w:rsidR="008F7C57" w:rsidRPr="008F7C57" w14:paraId="2E158CF4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D4BF3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No answer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78FC8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0.0 (1)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3B1B7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1.6 (71)</w:t>
            </w:r>
          </w:p>
        </w:tc>
      </w:tr>
      <w:tr w:rsidR="008F7C57" w:rsidRPr="008F7C57" w14:paraId="7E101046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D2D75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Chronic disease(s)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998D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szCs w:val="24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8AF7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1AD9B813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D58DF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Yes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3E33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24.6 (1095)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A068B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24.1 (1081)</w:t>
            </w:r>
          </w:p>
        </w:tc>
      </w:tr>
      <w:tr w:rsidR="008F7C57" w:rsidRPr="008F7C57" w14:paraId="71809C50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75F82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D751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75.4 (3365)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1723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75.9 (3401)</w:t>
            </w:r>
          </w:p>
        </w:tc>
      </w:tr>
      <w:tr w:rsidR="008F7C57" w:rsidRPr="008F7C57" w14:paraId="08D00A54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99FA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Area of residence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501D6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szCs w:val="24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42584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63A442B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F608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Urban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36F9E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53.8 (2398)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DCAA8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66.2 (2966)</w:t>
            </w:r>
          </w:p>
        </w:tc>
      </w:tr>
      <w:tr w:rsidR="008F7C57" w:rsidRPr="008F7C57" w14:paraId="65536EF0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E683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 xml:space="preserve">Rural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FC9E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46.2 (2062)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308C0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33.8 (1516)</w:t>
            </w:r>
          </w:p>
        </w:tc>
      </w:tr>
      <w:tr w:rsidR="008F7C57" w:rsidRPr="008F7C57" w14:paraId="2B1EC6D7" w14:textId="77777777" w:rsidTr="00857832">
        <w:trPr>
          <w:trHeight w:val="20"/>
        </w:trPr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C813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 xml:space="preserve">COVID-19 risk zones (as of </w:t>
            </w:r>
            <w:proofErr w:type="gramStart"/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March,</w:t>
            </w:r>
            <w:proofErr w:type="gramEnd"/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 xml:space="preserve"> 2020)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6767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7748FA5E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EF9A6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Red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4372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ascii="SimSun" w:eastAsia="SimSun" w:hAnsi="SimSun" w:cs="SimSun" w:hint="eastAsia"/>
                <w:color w:val="000000"/>
                <w:szCs w:val="24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6D10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34.1 (1529)</w:t>
            </w:r>
          </w:p>
        </w:tc>
      </w:tr>
      <w:tr w:rsidR="008F7C57" w:rsidRPr="008F7C57" w14:paraId="7AA5AE2D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9D638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 xml:space="preserve">Orange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F5BE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ascii="SimSun" w:eastAsia="SimSun" w:hAnsi="SimSun" w:cs="SimSun" w:hint="eastAsia"/>
                <w:color w:val="000000"/>
                <w:szCs w:val="24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33DF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21.2 (951)</w:t>
            </w:r>
          </w:p>
        </w:tc>
      </w:tr>
      <w:tr w:rsidR="008F7C57" w:rsidRPr="008F7C57" w14:paraId="6AB41F55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7EF15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 xml:space="preserve">Green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C07C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ascii="SimSun" w:eastAsia="SimSun" w:hAnsi="SimSun" w:cs="SimSun" w:hint="eastAsia"/>
                <w:color w:val="000000"/>
                <w:szCs w:val="24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4364D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44.7 (2002)</w:t>
            </w:r>
          </w:p>
        </w:tc>
      </w:tr>
      <w:tr w:rsidR="008F7C57" w:rsidRPr="008F7C57" w14:paraId="5EFF348D" w14:textId="77777777" w:rsidTr="00857832">
        <w:trPr>
          <w:trHeight w:val="20"/>
        </w:trPr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E748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Exposed to the Fit from Home campaign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821C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6563A72B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F0E4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Yes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95BB4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ascii="SimSun" w:eastAsia="SimSun" w:hAnsi="SimSun" w:cs="SimSun" w:hint="eastAsia"/>
                <w:color w:val="000000"/>
                <w:szCs w:val="24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FF269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25.6 (1148)</w:t>
            </w:r>
          </w:p>
        </w:tc>
      </w:tr>
      <w:tr w:rsidR="008F7C57" w:rsidRPr="008F7C57" w14:paraId="1DBECDD3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14BB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2A4B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ascii="SimSun" w:eastAsia="SimSun" w:hAnsi="SimSun" w:cs="SimSun" w:hint="eastAsia"/>
                <w:color w:val="000000"/>
                <w:szCs w:val="24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44959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74.4 (3334)</w:t>
            </w:r>
          </w:p>
        </w:tc>
      </w:tr>
      <w:tr w:rsidR="008F7C57" w:rsidRPr="008F7C57" w14:paraId="041FB406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E01C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Type of restrictive measure in one’s location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5E73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szCs w:val="24"/>
                <w:lang w:bidi="th-TH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8382C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2B872895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9FAF5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 xml:space="preserve">Lockdown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D6C5B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ascii="SimSun" w:eastAsia="SimSun" w:hAnsi="SimSun" w:cs="SimSun" w:hint="eastAsia"/>
                <w:color w:val="000000"/>
                <w:szCs w:val="24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D9B7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46.6 (2088)</w:t>
            </w:r>
          </w:p>
        </w:tc>
      </w:tr>
      <w:tr w:rsidR="008F7C57" w:rsidRPr="008F7C57" w14:paraId="5E1A42C5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CB391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Relaxed curfew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1C0E7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ascii="SimSun" w:eastAsia="SimSun" w:hAnsi="SimSun" w:cs="SimSun" w:hint="eastAsia"/>
                <w:color w:val="000000"/>
                <w:szCs w:val="24"/>
                <w:lang w:bidi="th-TH"/>
              </w:rPr>
              <w:t>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2483D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53.4 (2394)</w:t>
            </w:r>
          </w:p>
        </w:tc>
      </w:tr>
      <w:tr w:rsidR="008F7C57" w:rsidRPr="008F7C57" w14:paraId="5ED84776" w14:textId="77777777" w:rsidTr="00857832">
        <w:trPr>
          <w:trHeight w:val="20"/>
        </w:trPr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6E03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  <w:t>Having sufficient MVPA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38E3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bidi="th-TH"/>
              </w:rPr>
            </w:pPr>
          </w:p>
        </w:tc>
      </w:tr>
      <w:tr w:rsidR="008F7C57" w:rsidRPr="008F7C57" w14:paraId="3B52ADE1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3A6265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Yes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vAlign w:val="center"/>
          </w:tcPr>
          <w:p w14:paraId="1CDD7F15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74.6 (3329)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60F98E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54.7 (2452)</w:t>
            </w:r>
          </w:p>
        </w:tc>
      </w:tr>
      <w:tr w:rsidR="008F7C57" w:rsidRPr="008F7C57" w14:paraId="20140AED" w14:textId="77777777" w:rsidTr="00857832">
        <w:trPr>
          <w:gridAfter w:val="1"/>
          <w:wAfter w:w="4536" w:type="dxa"/>
          <w:trHeight w:val="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55CCA" w14:textId="77777777" w:rsidR="008F7C57" w:rsidRPr="008F7C57" w:rsidRDefault="008F7C57" w:rsidP="000A0E25">
            <w:pPr>
              <w:spacing w:after="0" w:line="240" w:lineRule="auto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5993D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25.4 (1131)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46359" w14:textId="77777777" w:rsidR="008F7C57" w:rsidRPr="008F7C57" w:rsidRDefault="008F7C57" w:rsidP="000A0E2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bidi="th-TH"/>
              </w:rPr>
            </w:pPr>
            <w:r w:rsidRPr="008F7C57">
              <w:rPr>
                <w:rFonts w:eastAsia="Times New Roman"/>
                <w:color w:val="000000"/>
                <w:szCs w:val="24"/>
                <w:lang w:bidi="th-TH"/>
              </w:rPr>
              <w:t>45.3 (2030)</w:t>
            </w:r>
          </w:p>
        </w:tc>
      </w:tr>
    </w:tbl>
    <w:p w14:paraId="5AB0922D" w14:textId="423B7F78" w:rsidR="000A0E25" w:rsidRDefault="008F7C57" w:rsidP="00B42003">
      <w:pPr>
        <w:spacing w:before="120" w:after="0" w:line="240" w:lineRule="auto"/>
        <w:jc w:val="both"/>
        <w:rPr>
          <w:rFonts w:eastAsia="DengXian"/>
          <w:sz w:val="20"/>
          <w:szCs w:val="20"/>
          <w:lang w:eastAsia="zh-CN" w:bidi="th-TH"/>
        </w:rPr>
      </w:pPr>
      <w:r w:rsidRPr="008F7C57">
        <w:rPr>
          <w:rFonts w:eastAsia="DengXian"/>
          <w:sz w:val="20"/>
          <w:szCs w:val="20"/>
          <w:lang w:bidi="th-TH"/>
        </w:rPr>
        <w:t>Notes: Red zone: more than 10 confirmed positive cases. Orange zone: 1–10 confirmed positive cases. Green zone: no infection has been reported. Lockdown period: during maximum curfew enforcement (March 29–May 2). Relaxed curfew: after May 2. Sufficient MVPA: an accumulation of 75 min of vigorous intensity PA per week or a 150-min combination of vigorous- and moderate-intensity PA per week.</w:t>
      </w:r>
      <w:r w:rsidR="007F006D">
        <w:rPr>
          <w:rFonts w:eastAsia="DengXian"/>
          <w:sz w:val="20"/>
          <w:szCs w:val="20"/>
          <w:lang w:bidi="th-TH"/>
        </w:rPr>
        <w:t xml:space="preserve"> </w:t>
      </w:r>
      <w:r w:rsidRPr="008F7C57">
        <w:rPr>
          <w:rFonts w:eastAsia="DengXian" w:hint="eastAsia"/>
          <w:sz w:val="20"/>
          <w:szCs w:val="20"/>
          <w:lang w:eastAsia="zh-CN" w:bidi="th-TH"/>
        </w:rPr>
        <w:t xml:space="preserve">Abbreviations: MVPA = </w:t>
      </w:r>
      <w:r w:rsidRPr="008F7C57">
        <w:rPr>
          <w:rFonts w:eastAsia="DengXian"/>
          <w:sz w:val="20"/>
          <w:szCs w:val="20"/>
          <w:lang w:eastAsia="zh-CN" w:bidi="th-TH"/>
        </w:rPr>
        <w:t>Moderate-to-Vigorous Physical Activity</w:t>
      </w:r>
      <w:r w:rsidRPr="008F7C57">
        <w:rPr>
          <w:rFonts w:eastAsia="DengXian" w:hint="eastAsia"/>
          <w:sz w:val="20"/>
          <w:szCs w:val="20"/>
          <w:lang w:eastAsia="zh-CN" w:bidi="th-TH"/>
        </w:rPr>
        <w:t>; SPA =</w:t>
      </w:r>
      <w:r w:rsidRPr="008F7C57">
        <w:rPr>
          <w:rFonts w:eastAsia="DengXian"/>
          <w:sz w:val="20"/>
          <w:szCs w:val="20"/>
          <w:lang w:eastAsia="zh-CN" w:bidi="th-TH"/>
        </w:rPr>
        <w:t xml:space="preserve"> Surveillance on Physical Activity</w:t>
      </w:r>
      <w:r w:rsidRPr="008F7C57">
        <w:rPr>
          <w:rFonts w:eastAsia="DengXian" w:hint="eastAsia"/>
          <w:sz w:val="20"/>
          <w:szCs w:val="20"/>
          <w:lang w:eastAsia="zh-CN" w:bidi="th-TH"/>
        </w:rPr>
        <w:t>.</w:t>
      </w:r>
    </w:p>
    <w:p w14:paraId="7F95E83F" w14:textId="77777777" w:rsidR="00B42003" w:rsidRPr="00B42003" w:rsidRDefault="00B42003" w:rsidP="00B42003">
      <w:pPr>
        <w:spacing w:before="120" w:after="0" w:line="240" w:lineRule="auto"/>
        <w:jc w:val="both"/>
        <w:rPr>
          <w:rFonts w:eastAsia="DengXian"/>
          <w:sz w:val="20"/>
          <w:szCs w:val="20"/>
          <w:lang w:bidi="th-TH"/>
        </w:rPr>
      </w:pPr>
    </w:p>
    <w:p w14:paraId="08BB4299" w14:textId="7E854B8E" w:rsidR="007D486D" w:rsidRPr="00E440F9" w:rsidRDefault="00F6224D" w:rsidP="000A0E25">
      <w:pPr>
        <w:spacing w:before="120" w:after="120" w:line="240" w:lineRule="auto"/>
        <w:jc w:val="both"/>
        <w:rPr>
          <w:color w:val="FF0000"/>
        </w:rPr>
      </w:pPr>
      <w:r>
        <w:t>Figures should be placed immediately after text in TIFF or</w:t>
      </w:r>
      <w:r w:rsidR="00E769A3">
        <w:t xml:space="preserve"> editable format. Figure title should be placed below and centered. </w:t>
      </w:r>
      <w:r w:rsidR="00D03278" w:rsidRPr="00E440F9">
        <w:rPr>
          <w:color w:val="FF0000"/>
        </w:rPr>
        <w:t xml:space="preserve">Colored figures are recommended instead of pattern or gray-scale. </w:t>
      </w:r>
      <w:r w:rsidR="00E769A3" w:rsidRPr="00E440F9">
        <w:rPr>
          <w:color w:val="FF0000"/>
        </w:rPr>
        <w:t>See example:</w:t>
      </w:r>
    </w:p>
    <w:p w14:paraId="38648D6D" w14:textId="77777777" w:rsidR="00E769A3" w:rsidRPr="00E769A3" w:rsidRDefault="00E769A3" w:rsidP="000A0E25">
      <w:pPr>
        <w:spacing w:after="0" w:line="240" w:lineRule="auto"/>
        <w:jc w:val="center"/>
        <w:rPr>
          <w:rFonts w:eastAsia="Calibri"/>
          <w:szCs w:val="24"/>
          <w:lang w:bidi="ar-SA"/>
        </w:rPr>
      </w:pPr>
      <w:r w:rsidRPr="00E769A3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7C36CAF7" wp14:editId="5D155B24">
            <wp:extent cx="4819135" cy="2454876"/>
            <wp:effectExtent l="0" t="0" r="635" b="31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231BDC-F6F2-4C32-8A1F-1ECACE4F3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96A44D" w14:textId="5A7942BA" w:rsidR="00F6224D" w:rsidRPr="000A0E25" w:rsidRDefault="00E769A3" w:rsidP="000A0E25">
      <w:pPr>
        <w:spacing w:before="120" w:after="120" w:line="240" w:lineRule="auto"/>
        <w:jc w:val="center"/>
        <w:rPr>
          <w:rFonts w:eastAsia="Calibri"/>
          <w:b/>
          <w:bCs/>
          <w:sz w:val="22"/>
          <w:lang w:bidi="ar-SA"/>
        </w:rPr>
      </w:pPr>
      <w:r w:rsidRPr="00E769A3">
        <w:rPr>
          <w:rFonts w:eastAsia="Calibri"/>
          <w:b/>
          <w:bCs/>
          <w:sz w:val="22"/>
          <w:lang w:bidi="ar-SA"/>
        </w:rPr>
        <w:t>Figure 1: Prevalence of sufficient MVPA of Thai adults: 2012-2019</w:t>
      </w:r>
    </w:p>
    <w:p w14:paraId="4F2CDA83" w14:textId="6B1FCDA4" w:rsidR="00F6224D" w:rsidRPr="000A0E25" w:rsidRDefault="00F6224D" w:rsidP="000A0E25">
      <w:pPr>
        <w:pStyle w:val="Heading1"/>
        <w:spacing w:after="240"/>
        <w:jc w:val="left"/>
      </w:pPr>
      <w:r w:rsidRPr="000A0E25">
        <w:lastRenderedPageBreak/>
        <w:t xml:space="preserve">References </w:t>
      </w:r>
    </w:p>
    <w:p w14:paraId="092BE90E" w14:textId="717432FA" w:rsidR="00714624" w:rsidRPr="00896C2F" w:rsidRDefault="000A0E25" w:rsidP="000A0E25">
      <w:pPr>
        <w:spacing w:after="0" w:line="240" w:lineRule="auto"/>
        <w:rPr>
          <w:lang w:val="en-GB"/>
        </w:rPr>
      </w:pPr>
      <w:r>
        <w:rPr>
          <w:lang w:val="en-GB"/>
        </w:rPr>
        <w:t xml:space="preserve">Whenever </w:t>
      </w:r>
      <w:r w:rsidR="00BA7C72">
        <w:rPr>
          <w:lang w:val="en-GB"/>
        </w:rPr>
        <w:t>applicable</w:t>
      </w:r>
      <w:r>
        <w:rPr>
          <w:lang w:val="en-GB"/>
        </w:rPr>
        <w:t>, r</w:t>
      </w:r>
      <w:r w:rsidR="00714624" w:rsidRPr="00896C2F">
        <w:rPr>
          <w:lang w:val="en-GB"/>
        </w:rPr>
        <w:t xml:space="preserve">eference should follow APA7th style. </w:t>
      </w:r>
    </w:p>
    <w:p w14:paraId="71E849E4" w14:textId="77777777" w:rsidR="00AE7BC3" w:rsidRPr="00896C2F" w:rsidRDefault="00AE7BC3" w:rsidP="000A0E25">
      <w:pPr>
        <w:spacing w:after="0" w:line="240" w:lineRule="auto"/>
        <w:rPr>
          <w:lang w:val="en-GB"/>
        </w:rPr>
      </w:pPr>
      <w:r w:rsidRPr="00896C2F">
        <w:rPr>
          <w:lang w:val="en-GB"/>
        </w:rPr>
        <w:t xml:space="preserve">All in-text citations must have a corresponding entry in the reference list. </w:t>
      </w:r>
    </w:p>
    <w:p w14:paraId="6FE2F23F" w14:textId="351E6E83" w:rsidR="006C4E66" w:rsidRPr="00896C2F" w:rsidRDefault="00AE7BC3" w:rsidP="000A0E25">
      <w:pPr>
        <w:spacing w:after="0" w:line="240" w:lineRule="auto"/>
        <w:rPr>
          <w:lang w:val="en-GB"/>
        </w:rPr>
      </w:pPr>
      <w:r w:rsidRPr="00896C2F">
        <w:rPr>
          <w:lang w:val="en-GB"/>
        </w:rPr>
        <w:t xml:space="preserve">All sources in the reference list must have a corresponding in-text citation. </w:t>
      </w:r>
    </w:p>
    <w:p w14:paraId="3A085C6A" w14:textId="61B75014" w:rsidR="006C4E66" w:rsidRPr="00896C2F" w:rsidRDefault="006C4E66" w:rsidP="000A0E25">
      <w:pPr>
        <w:spacing w:after="0" w:line="240" w:lineRule="auto"/>
        <w:rPr>
          <w:lang w:val="en-GB"/>
        </w:rPr>
      </w:pPr>
    </w:p>
    <w:p w14:paraId="1083E5B6" w14:textId="2F102AF8" w:rsidR="00AE7BC3" w:rsidRPr="00896C2F" w:rsidRDefault="00AE7BC3" w:rsidP="000A0E25">
      <w:pPr>
        <w:spacing w:after="0" w:line="240" w:lineRule="auto"/>
        <w:rPr>
          <w:lang w:val="en-GB"/>
        </w:rPr>
      </w:pPr>
      <w:r w:rsidRPr="00896C2F">
        <w:rPr>
          <w:lang w:val="en-GB"/>
        </w:rPr>
        <w:t>See example for in-text and reference list following APA style:</w:t>
      </w:r>
    </w:p>
    <w:p w14:paraId="5087EB0D" w14:textId="1F14060F" w:rsidR="00AE7BC3" w:rsidRPr="00896C2F" w:rsidRDefault="00AE7BC3" w:rsidP="000A0E25">
      <w:pPr>
        <w:spacing w:after="0" w:line="240" w:lineRule="auto"/>
        <w:rPr>
          <w:lang w:val="en-GB"/>
        </w:rPr>
      </w:pPr>
      <w:hyperlink r:id="rId10" w:history="1">
        <w:r w:rsidRPr="00896C2F">
          <w:rPr>
            <w:rStyle w:val="Hyperlink"/>
            <w:color w:val="auto"/>
            <w:lang w:val="en-GB"/>
          </w:rPr>
          <w:t>https://guides.lib.monash.edu/ld.php?content_id=49402325</w:t>
        </w:r>
      </w:hyperlink>
      <w:r w:rsidR="00896C2F">
        <w:rPr>
          <w:rStyle w:val="Hyperlink"/>
          <w:color w:val="auto"/>
          <w:lang w:val="en-GB"/>
        </w:rPr>
        <w:t xml:space="preserve"> </w:t>
      </w:r>
      <w:r w:rsidRPr="00896C2F">
        <w:rPr>
          <w:lang w:val="en-GB"/>
        </w:rPr>
        <w:t xml:space="preserve"> </w:t>
      </w:r>
      <w:r w:rsidR="00896C2F">
        <w:rPr>
          <w:lang w:val="en-GB"/>
        </w:rPr>
        <w:t xml:space="preserve"> </w:t>
      </w:r>
    </w:p>
    <w:p w14:paraId="1838427D" w14:textId="393A0FA9" w:rsidR="00AE7BC3" w:rsidRPr="00896C2F" w:rsidRDefault="00AE7BC3" w:rsidP="000A0E25">
      <w:pPr>
        <w:spacing w:after="0" w:line="240" w:lineRule="auto"/>
        <w:rPr>
          <w:lang w:val="en-GB"/>
        </w:rPr>
      </w:pPr>
      <w:hyperlink r:id="rId11" w:history="1">
        <w:r w:rsidRPr="00896C2F">
          <w:rPr>
            <w:rStyle w:val="Hyperlink"/>
            <w:color w:val="auto"/>
            <w:lang w:val="en-GB"/>
          </w:rPr>
          <w:t>https://aut.ac.nz.libguides.com/ld.php?content_id=49292669</w:t>
        </w:r>
      </w:hyperlink>
      <w:r w:rsidR="00896C2F">
        <w:rPr>
          <w:rStyle w:val="Hyperlink"/>
          <w:color w:val="auto"/>
          <w:lang w:val="en-GB"/>
        </w:rPr>
        <w:t xml:space="preserve"> </w:t>
      </w:r>
      <w:r w:rsidRPr="00896C2F">
        <w:rPr>
          <w:lang w:val="en-GB"/>
        </w:rPr>
        <w:t xml:space="preserve"> </w:t>
      </w:r>
    </w:p>
    <w:p w14:paraId="6BEDFDE0" w14:textId="138E61BC" w:rsidR="00896C2F" w:rsidRDefault="00896C2F" w:rsidP="000A0E25">
      <w:pPr>
        <w:spacing w:line="240" w:lineRule="auto"/>
        <w:rPr>
          <w:lang w:val="en-GB"/>
        </w:rPr>
      </w:pPr>
    </w:p>
    <w:p w14:paraId="5848168D" w14:textId="20576D6B" w:rsidR="00896C2F" w:rsidRDefault="00896C2F" w:rsidP="000A0E25">
      <w:pPr>
        <w:spacing w:line="240" w:lineRule="auto"/>
        <w:rPr>
          <w:lang w:val="en-GB"/>
        </w:rPr>
      </w:pPr>
      <w:r>
        <w:rPr>
          <w:lang w:val="en-GB"/>
        </w:rPr>
        <w:t>This is the reference list example for a journal article:</w:t>
      </w:r>
    </w:p>
    <w:p w14:paraId="58151BCC" w14:textId="13ED597A" w:rsidR="00896C2F" w:rsidRPr="00896C2F" w:rsidRDefault="00896C2F" w:rsidP="000A0E2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896C2F">
        <w:rPr>
          <w:rFonts w:ascii="Times New Roman" w:hAnsi="Times New Roman" w:cs="Times New Roman"/>
          <w:lang w:val="en-GB"/>
        </w:rPr>
        <w:fldChar w:fldCharType="begin"/>
      </w:r>
      <w:r w:rsidRPr="00896C2F">
        <w:rPr>
          <w:rFonts w:ascii="Times New Roman" w:hAnsi="Times New Roman" w:cs="Times New Roman"/>
          <w:lang w:val="en-GB"/>
        </w:rPr>
        <w:instrText xml:space="preserve"> ADDIN EN.REFLIST </w:instrText>
      </w:r>
      <w:r w:rsidRPr="00896C2F">
        <w:rPr>
          <w:rFonts w:ascii="Times New Roman" w:hAnsi="Times New Roman" w:cs="Times New Roman"/>
          <w:lang w:val="en-GB"/>
        </w:rPr>
        <w:fldChar w:fldCharType="separate"/>
      </w:r>
      <w:r w:rsidRPr="00896C2F">
        <w:rPr>
          <w:rFonts w:ascii="Times New Roman" w:hAnsi="Times New Roman" w:cs="Times New Roman"/>
        </w:rPr>
        <w:t xml:space="preserve">Bull, F. C., Al-Ansari, S. S., Biddle, S., Borodulin, K., Buman, M. P., Cardon, G., Carty, C., Chaput, J.-P., Chastin, S., &amp; Chou, R. (2020). World Health Organization 2020 guidelines on physical activity and sedentary behaviour. </w:t>
      </w:r>
      <w:r w:rsidRPr="00896C2F">
        <w:rPr>
          <w:rFonts w:ascii="Times New Roman" w:hAnsi="Times New Roman" w:cs="Times New Roman"/>
          <w:i/>
        </w:rPr>
        <w:t>British journal of sports medicine</w:t>
      </w:r>
      <w:r w:rsidRPr="00896C2F">
        <w:rPr>
          <w:rFonts w:ascii="Times New Roman" w:hAnsi="Times New Roman" w:cs="Times New Roman"/>
        </w:rPr>
        <w:t>,</w:t>
      </w:r>
      <w:r w:rsidRPr="00896C2F">
        <w:rPr>
          <w:rFonts w:ascii="Times New Roman" w:hAnsi="Times New Roman" w:cs="Times New Roman"/>
          <w:i/>
        </w:rPr>
        <w:t xml:space="preserve"> 54</w:t>
      </w:r>
      <w:r w:rsidRPr="00896C2F">
        <w:rPr>
          <w:rFonts w:ascii="Times New Roman" w:hAnsi="Times New Roman" w:cs="Times New Roman"/>
        </w:rPr>
        <w:t xml:space="preserve">(24), 1451-1462. </w:t>
      </w:r>
      <w:hyperlink r:id="rId12" w:history="1">
        <w:r w:rsidRPr="00896C2F">
          <w:rPr>
            <w:rStyle w:val="Hyperlink"/>
            <w:rFonts w:ascii="Times New Roman" w:hAnsi="Times New Roman" w:cs="Times New Roman"/>
          </w:rPr>
          <w:t>https://bjsm.bmj.com/content/bjsports/54/24/1451.full.pdf</w:t>
        </w:r>
      </w:hyperlink>
      <w:r w:rsidRPr="00896C2F">
        <w:rPr>
          <w:rFonts w:ascii="Times New Roman" w:hAnsi="Times New Roman" w:cs="Times New Roman"/>
        </w:rPr>
        <w:t xml:space="preserve"> </w:t>
      </w:r>
    </w:p>
    <w:p w14:paraId="0173DAC2" w14:textId="5BD6BCC8" w:rsidR="00F6224D" w:rsidRPr="00F6224D" w:rsidRDefault="00896C2F" w:rsidP="000A0E25">
      <w:pPr>
        <w:spacing w:line="240" w:lineRule="auto"/>
        <w:rPr>
          <w:lang w:val="en-GB"/>
        </w:rPr>
      </w:pPr>
      <w:r w:rsidRPr="00896C2F">
        <w:rPr>
          <w:lang w:val="en-GB"/>
        </w:rPr>
        <w:fldChar w:fldCharType="end"/>
      </w:r>
    </w:p>
    <w:sectPr w:rsidR="00F6224D" w:rsidRPr="00F6224D" w:rsidSect="00F6224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97" w:right="1416" w:bottom="1418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F1D9" w14:textId="77777777" w:rsidR="00EE6192" w:rsidRDefault="00EE6192" w:rsidP="006771E0">
      <w:pPr>
        <w:spacing w:after="0" w:line="240" w:lineRule="auto"/>
      </w:pPr>
      <w:r>
        <w:separator/>
      </w:r>
    </w:p>
  </w:endnote>
  <w:endnote w:type="continuationSeparator" w:id="0">
    <w:p w14:paraId="688A8A5A" w14:textId="77777777" w:rsidR="00EE6192" w:rsidRDefault="00EE6192" w:rsidP="0067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3A6E" w14:textId="720E5680" w:rsidR="007F006D" w:rsidRPr="00F05576" w:rsidRDefault="00F05576" w:rsidP="00F05576">
    <w:pPr>
      <w:pStyle w:val="Footer"/>
    </w:pPr>
    <w:r w:rsidRPr="005D5DE5">
      <w:rPr>
        <w:rFonts w:ascii="Aptos Narrow" w:hAnsi="Aptos Narrow"/>
        <w:color w:val="4F81BD" w:themeColor="accent1"/>
        <w:sz w:val="20"/>
        <w:szCs w:val="20"/>
      </w:rPr>
      <w:t xml:space="preserve">SEAPAC2025 </w:t>
    </w:r>
    <w:r w:rsidRPr="005D5DE5">
      <w:rPr>
        <w:rFonts w:ascii="Aptos Narrow" w:hAnsi="Aptos Narrow"/>
        <w:sz w:val="20"/>
        <w:szCs w:val="20"/>
      </w:rPr>
      <w:t>| Uniting Movement: A Collective Action for Equitable Opportunities in Physical Activity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B6DE" w14:textId="3B26FAE5" w:rsidR="00B84191" w:rsidRDefault="005D5DE5" w:rsidP="00B84191">
    <w:pPr>
      <w:pStyle w:val="Footer"/>
      <w:spacing w:after="200"/>
    </w:pPr>
    <w:r w:rsidRPr="005D5DE5">
      <w:rPr>
        <w:rFonts w:ascii="Aptos Narrow" w:hAnsi="Aptos Narrow"/>
        <w:color w:val="4F81BD" w:themeColor="accent1"/>
        <w:sz w:val="20"/>
        <w:szCs w:val="20"/>
      </w:rPr>
      <w:t xml:space="preserve">SEAPAC2025 </w:t>
    </w:r>
    <w:r w:rsidRPr="005D5DE5">
      <w:rPr>
        <w:rFonts w:ascii="Aptos Narrow" w:hAnsi="Aptos Narrow"/>
        <w:sz w:val="20"/>
        <w:szCs w:val="20"/>
      </w:rPr>
      <w:t>| Uniting Movement: A Collective Action for Equitable Opportunities in Physical Activity</w:t>
    </w:r>
    <w:r w:rsidR="00CC190F">
      <w:rPr>
        <w:rFonts w:asciiTheme="minorHAnsi" w:hAnsiTheme="minorHAnsi"/>
        <w:i/>
        <w:sz w:val="23"/>
        <w:szCs w:val="23"/>
      </w:rPr>
      <w:tab/>
    </w:r>
    <w:r w:rsidR="00CC190F" w:rsidRPr="00C73035">
      <w:rPr>
        <w:rFonts w:asciiTheme="minorHAnsi" w:hAnsiTheme="minorHAnsi"/>
        <w:sz w:val="23"/>
        <w:szCs w:val="23"/>
      </w:rPr>
      <w:fldChar w:fldCharType="begin"/>
    </w:r>
    <w:r w:rsidR="00CC190F" w:rsidRPr="00C73035">
      <w:rPr>
        <w:rFonts w:asciiTheme="minorHAnsi" w:hAnsiTheme="minorHAnsi"/>
        <w:sz w:val="23"/>
        <w:szCs w:val="23"/>
      </w:rPr>
      <w:instrText xml:space="preserve"> PAGE </w:instrText>
    </w:r>
    <w:r w:rsidR="00CC190F" w:rsidRPr="00C73035">
      <w:rPr>
        <w:rFonts w:asciiTheme="minorHAnsi" w:hAnsiTheme="minorHAnsi"/>
        <w:sz w:val="23"/>
        <w:szCs w:val="23"/>
      </w:rPr>
      <w:fldChar w:fldCharType="separate"/>
    </w:r>
    <w:r w:rsidR="0070718B">
      <w:rPr>
        <w:rFonts w:asciiTheme="minorHAnsi" w:hAnsiTheme="minorHAnsi"/>
        <w:noProof/>
        <w:sz w:val="23"/>
        <w:szCs w:val="23"/>
      </w:rPr>
      <w:t>1</w:t>
    </w:r>
    <w:r w:rsidR="00CC190F" w:rsidRPr="00C73035">
      <w:rPr>
        <w:rFonts w:asciiTheme="minorHAnsi" w:hAnsiTheme="minorHAnsi"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0265F" w14:textId="77777777" w:rsidR="00EE6192" w:rsidRDefault="00EE6192" w:rsidP="006771E0">
      <w:pPr>
        <w:spacing w:after="0" w:line="240" w:lineRule="auto"/>
      </w:pPr>
      <w:r>
        <w:separator/>
      </w:r>
    </w:p>
  </w:footnote>
  <w:footnote w:type="continuationSeparator" w:id="0">
    <w:p w14:paraId="74EFA100" w14:textId="77777777" w:rsidR="00EE6192" w:rsidRDefault="00EE6192" w:rsidP="0067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BE38" w14:textId="42A815DB" w:rsidR="00F6224D" w:rsidRDefault="00F6224D" w:rsidP="00F6224D">
    <w:pPr>
      <w:tabs>
        <w:tab w:val="right" w:pos="8910"/>
      </w:tabs>
      <w:spacing w:after="0"/>
      <w:jc w:val="right"/>
    </w:pPr>
    <w:r>
      <w:t>Insert paper title here</w:t>
    </w:r>
  </w:p>
  <w:p w14:paraId="79DD9B07" w14:textId="1B1576DB" w:rsidR="00F6224D" w:rsidRDefault="00F6224D" w:rsidP="004F673E">
    <w:pPr>
      <w:tabs>
        <w:tab w:val="right" w:pos="891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9BADEE" wp14:editId="4681571E">
              <wp:simplePos x="0" y="0"/>
              <wp:positionH relativeFrom="margin">
                <wp:align>center</wp:align>
              </wp:positionH>
              <wp:positionV relativeFrom="paragraph">
                <wp:posOffset>192024</wp:posOffset>
              </wp:positionV>
              <wp:extent cx="6077712" cy="0"/>
              <wp:effectExtent l="38100" t="38100" r="75565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7712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A3BB1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1pt" to="47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" strokecolor="#4f81bd [3204]" strokeweight="1pt">
              <v:shadow on="t" color="black" opacity="24903f" origin=",.5" offset="0,.55556mm"/>
              <w10:wrap anchorx="margin"/>
            </v:line>
          </w:pict>
        </mc:Fallback>
      </mc:AlternateContent>
    </w:r>
  </w:p>
  <w:p w14:paraId="24E68E85" w14:textId="37D5AB32" w:rsidR="006771E0" w:rsidRPr="00127EF4" w:rsidRDefault="006771E0" w:rsidP="004F673E">
    <w:pPr>
      <w:tabs>
        <w:tab w:val="right" w:pos="891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8952" w14:textId="77777777" w:rsidR="00FD69FB" w:rsidRDefault="00FD69FB" w:rsidP="00FD69FB">
    <w:pPr>
      <w:pStyle w:val="Header"/>
      <w:ind w:firstLine="2160"/>
      <w:jc w:val="center"/>
      <w:rPr>
        <w:rFonts w:ascii="Kanit" w:hAnsi="Kanit" w:cs="Kanit"/>
        <w:b/>
        <w:bCs/>
        <w:noProof/>
        <w:szCs w:val="32"/>
      </w:rPr>
    </w:pPr>
    <w:r w:rsidRPr="00676A4F">
      <w:rPr>
        <w:rFonts w:ascii="Kanit" w:hAnsi="Kanit" w:cs="Kanit"/>
        <w:i/>
        <w:iCs/>
        <w:noProof/>
        <w:sz w:val="16"/>
        <w:szCs w:val="20"/>
      </w:rPr>
      <w:drawing>
        <wp:anchor distT="0" distB="0" distL="114300" distR="114300" simplePos="0" relativeHeight="251665408" behindDoc="1" locked="0" layoutInCell="1" allowOverlap="1" wp14:anchorId="378906F9" wp14:editId="1EDD512E">
          <wp:simplePos x="0" y="0"/>
          <wp:positionH relativeFrom="margin">
            <wp:posOffset>-600710</wp:posOffset>
          </wp:positionH>
          <wp:positionV relativeFrom="paragraph">
            <wp:posOffset>32385</wp:posOffset>
          </wp:positionV>
          <wp:extent cx="1991985" cy="317500"/>
          <wp:effectExtent l="0" t="0" r="8890" b="6350"/>
          <wp:wrapNone/>
          <wp:docPr id="346008593" name="Picture 3" descr="A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008593" name="Picture 3" descr="A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8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A4F">
      <w:rPr>
        <w:rFonts w:ascii="Kanit" w:hAnsi="Kanit" w:cs="Kanit"/>
        <w:b/>
        <w:bCs/>
        <w:noProof/>
        <w:szCs w:val="32"/>
      </w:rPr>
      <w:t>South-East Asia Physical Activity Conference (SEAPAC)</w:t>
    </w:r>
  </w:p>
  <w:p w14:paraId="1BBBE988" w14:textId="77777777" w:rsidR="00FD69FB" w:rsidRPr="00953EAF" w:rsidRDefault="00FD69FB" w:rsidP="00FD69FB">
    <w:pPr>
      <w:pStyle w:val="Header"/>
      <w:ind w:firstLine="2160"/>
      <w:jc w:val="center"/>
      <w:rPr>
        <w:rFonts w:ascii="Kanit" w:hAnsi="Kanit" w:cs="Kanit"/>
        <w:sz w:val="20"/>
        <w:szCs w:val="24"/>
      </w:rPr>
    </w:pPr>
    <w:r w:rsidRPr="00953EAF">
      <w:rPr>
        <w:rFonts w:ascii="Kanit" w:hAnsi="Kanit" w:cs="Kanit"/>
        <w:sz w:val="20"/>
        <w:szCs w:val="24"/>
      </w:rPr>
      <w:t>Bangkok, 5-7 November 2025</w:t>
    </w:r>
  </w:p>
  <w:p w14:paraId="12FAB89C" w14:textId="77777777" w:rsidR="00FD69FB" w:rsidRPr="00676A4F" w:rsidRDefault="00FD69FB" w:rsidP="00FD69FB">
    <w:pPr>
      <w:pStyle w:val="Header"/>
      <w:jc w:val="center"/>
      <w:rPr>
        <w:rFonts w:ascii="Kanit" w:hAnsi="Kanit" w:cs="Kanit"/>
        <w:sz w:val="20"/>
        <w:szCs w:val="24"/>
      </w:rPr>
    </w:pPr>
    <w:r w:rsidRPr="00676A4F">
      <w:rPr>
        <w:rFonts w:ascii="Kanit" w:hAnsi="Kanit" w:cs="Kanit"/>
        <w:i/>
        <w:iCs/>
        <w:sz w:val="16"/>
        <w:szCs w:val="20"/>
      </w:rPr>
      <w:t xml:space="preserve"> </w:t>
    </w:r>
    <w:r w:rsidRPr="00676A4F">
      <w:rPr>
        <w:rFonts w:ascii="Kanit" w:hAnsi="Kanit" w:cs="Kanit"/>
        <w:i/>
        <w:iCs/>
        <w:sz w:val="16"/>
        <w:szCs w:val="20"/>
        <w:cs/>
      </w:rPr>
      <w:tab/>
      <w:t xml:space="preserve">                             </w:t>
    </w:r>
    <w:r w:rsidRPr="00676A4F">
      <w:rPr>
        <w:rFonts w:ascii="Kanit" w:hAnsi="Kanit" w:cs="Kanit"/>
        <w:i/>
        <w:iCs/>
        <w:sz w:val="16"/>
        <w:szCs w:val="20"/>
      </w:rPr>
      <w:t>“Uniting Movement: A Collective Action for Equitable Opportunities in Physical Activity”</w:t>
    </w:r>
  </w:p>
  <w:p w14:paraId="2D3D3153" w14:textId="5AF513F9" w:rsidR="006771E0" w:rsidRPr="00541B6F" w:rsidRDefault="00B85ECD" w:rsidP="00B85ECD">
    <w:pPr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0C1366" wp14:editId="684CBF9C">
              <wp:simplePos x="0" y="0"/>
              <wp:positionH relativeFrom="column">
                <wp:posOffset>-226695</wp:posOffset>
              </wp:positionH>
              <wp:positionV relativeFrom="paragraph">
                <wp:posOffset>132461</wp:posOffset>
              </wp:positionV>
              <wp:extent cx="6181344" cy="0"/>
              <wp:effectExtent l="38100" t="38100" r="6731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344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447216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85pt,10.45pt" to="468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" strokecolor="#4f81bd [3204]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26D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A1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7C9E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C7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43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C7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E2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01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47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34B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285764">
    <w:abstractNumId w:val="8"/>
  </w:num>
  <w:num w:numId="2" w16cid:durableId="1620721384">
    <w:abstractNumId w:val="3"/>
  </w:num>
  <w:num w:numId="3" w16cid:durableId="250630731">
    <w:abstractNumId w:val="2"/>
  </w:num>
  <w:num w:numId="4" w16cid:durableId="1879469255">
    <w:abstractNumId w:val="1"/>
  </w:num>
  <w:num w:numId="5" w16cid:durableId="1930263375">
    <w:abstractNumId w:val="0"/>
  </w:num>
  <w:num w:numId="6" w16cid:durableId="1568224370">
    <w:abstractNumId w:val="9"/>
  </w:num>
  <w:num w:numId="7" w16cid:durableId="250356637">
    <w:abstractNumId w:val="7"/>
  </w:num>
  <w:num w:numId="8" w16cid:durableId="1959337144">
    <w:abstractNumId w:val="6"/>
  </w:num>
  <w:num w:numId="9" w16cid:durableId="1412964356">
    <w:abstractNumId w:val="5"/>
  </w:num>
  <w:num w:numId="10" w16cid:durableId="180743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dftdrrjzzvezew0aept50ettwtvzxted9t&quot;&gt;TPAC2022&lt;record-ids&gt;&lt;item&gt;1&lt;/item&gt;&lt;/record-ids&gt;&lt;/item&gt;&lt;/Libraries&gt;"/>
  </w:docVars>
  <w:rsids>
    <w:rsidRoot w:val="00BB01A0"/>
    <w:rsid w:val="000303A0"/>
    <w:rsid w:val="00037A8E"/>
    <w:rsid w:val="00040249"/>
    <w:rsid w:val="000748D0"/>
    <w:rsid w:val="000773C8"/>
    <w:rsid w:val="000836FE"/>
    <w:rsid w:val="000A0E25"/>
    <w:rsid w:val="000A491B"/>
    <w:rsid w:val="000D4D42"/>
    <w:rsid w:val="000D77B8"/>
    <w:rsid w:val="000F6AF4"/>
    <w:rsid w:val="00131BDF"/>
    <w:rsid w:val="00173C73"/>
    <w:rsid w:val="00174E83"/>
    <w:rsid w:val="001F4AA1"/>
    <w:rsid w:val="00241189"/>
    <w:rsid w:val="00243A5E"/>
    <w:rsid w:val="0026051F"/>
    <w:rsid w:val="002B5692"/>
    <w:rsid w:val="00350864"/>
    <w:rsid w:val="00372CE4"/>
    <w:rsid w:val="00390F21"/>
    <w:rsid w:val="003B2881"/>
    <w:rsid w:val="003C0FBC"/>
    <w:rsid w:val="003F7A37"/>
    <w:rsid w:val="004357CE"/>
    <w:rsid w:val="0046097D"/>
    <w:rsid w:val="00471162"/>
    <w:rsid w:val="004B31BA"/>
    <w:rsid w:val="004D473D"/>
    <w:rsid w:val="004D6358"/>
    <w:rsid w:val="004F673E"/>
    <w:rsid w:val="0052210F"/>
    <w:rsid w:val="005514C6"/>
    <w:rsid w:val="00596512"/>
    <w:rsid w:val="005B0EC6"/>
    <w:rsid w:val="005B3615"/>
    <w:rsid w:val="005D5DE5"/>
    <w:rsid w:val="006012B1"/>
    <w:rsid w:val="00615940"/>
    <w:rsid w:val="006408D8"/>
    <w:rsid w:val="006634BC"/>
    <w:rsid w:val="0067373E"/>
    <w:rsid w:val="006771E0"/>
    <w:rsid w:val="00687A68"/>
    <w:rsid w:val="006C0F6D"/>
    <w:rsid w:val="006C4E66"/>
    <w:rsid w:val="0070718B"/>
    <w:rsid w:val="00714624"/>
    <w:rsid w:val="00741EAC"/>
    <w:rsid w:val="0077118D"/>
    <w:rsid w:val="007753B8"/>
    <w:rsid w:val="007D486D"/>
    <w:rsid w:val="007F006D"/>
    <w:rsid w:val="007F191F"/>
    <w:rsid w:val="00831D8C"/>
    <w:rsid w:val="00837F58"/>
    <w:rsid w:val="008651B2"/>
    <w:rsid w:val="00865541"/>
    <w:rsid w:val="00896C2F"/>
    <w:rsid w:val="008A629A"/>
    <w:rsid w:val="008C44E9"/>
    <w:rsid w:val="008D0F2C"/>
    <w:rsid w:val="008D4F7C"/>
    <w:rsid w:val="008F7C57"/>
    <w:rsid w:val="00916C24"/>
    <w:rsid w:val="0091704F"/>
    <w:rsid w:val="009248CC"/>
    <w:rsid w:val="00937662"/>
    <w:rsid w:val="0098453D"/>
    <w:rsid w:val="009A1992"/>
    <w:rsid w:val="009C76A7"/>
    <w:rsid w:val="009D3090"/>
    <w:rsid w:val="00A509A6"/>
    <w:rsid w:val="00AA1FE4"/>
    <w:rsid w:val="00AC135B"/>
    <w:rsid w:val="00AD4C8F"/>
    <w:rsid w:val="00AE7BC3"/>
    <w:rsid w:val="00B034D1"/>
    <w:rsid w:val="00B256C7"/>
    <w:rsid w:val="00B26504"/>
    <w:rsid w:val="00B42003"/>
    <w:rsid w:val="00B55A20"/>
    <w:rsid w:val="00B84191"/>
    <w:rsid w:val="00B85ECD"/>
    <w:rsid w:val="00BA7C72"/>
    <w:rsid w:val="00BB01A0"/>
    <w:rsid w:val="00BB3E74"/>
    <w:rsid w:val="00BF6663"/>
    <w:rsid w:val="00C73035"/>
    <w:rsid w:val="00C91B7B"/>
    <w:rsid w:val="00CC01B8"/>
    <w:rsid w:val="00CC190F"/>
    <w:rsid w:val="00CF6792"/>
    <w:rsid w:val="00D03278"/>
    <w:rsid w:val="00D13CA9"/>
    <w:rsid w:val="00D622F3"/>
    <w:rsid w:val="00D7010F"/>
    <w:rsid w:val="00D75C49"/>
    <w:rsid w:val="00D94DC1"/>
    <w:rsid w:val="00DA2419"/>
    <w:rsid w:val="00DB37A3"/>
    <w:rsid w:val="00DE2346"/>
    <w:rsid w:val="00E077A1"/>
    <w:rsid w:val="00E440F9"/>
    <w:rsid w:val="00E769A3"/>
    <w:rsid w:val="00EA6A3A"/>
    <w:rsid w:val="00EB39BE"/>
    <w:rsid w:val="00EE6192"/>
    <w:rsid w:val="00EF2ADB"/>
    <w:rsid w:val="00EF590C"/>
    <w:rsid w:val="00F01B6B"/>
    <w:rsid w:val="00F05576"/>
    <w:rsid w:val="00F4017B"/>
    <w:rsid w:val="00F6224D"/>
    <w:rsid w:val="00F80A26"/>
    <w:rsid w:val="00F845BB"/>
    <w:rsid w:val="00F86E5B"/>
    <w:rsid w:val="00FA476C"/>
    <w:rsid w:val="00FB6446"/>
    <w:rsid w:val="00FC04E3"/>
    <w:rsid w:val="00FC1E7E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7CB70"/>
  <w14:defaultImageDpi w14:val="330"/>
  <w15:docId w15:val="{D6A3BEE0-CD79-4CD1-92C6-ED356EF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9D4"/>
    <w:pPr>
      <w:spacing w:after="200" w:line="30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859D4"/>
    <w:pPr>
      <w:spacing w:before="240" w:after="600" w:line="240" w:lineRule="auto"/>
      <w:contextualSpacing/>
      <w:jc w:val="center"/>
      <w:outlineLvl w:val="0"/>
    </w:pPr>
    <w:rPr>
      <w:rFonts w:ascii="Arial" w:hAnsi="Arial"/>
      <w:b/>
      <w:spacing w:val="5"/>
      <w:sz w:val="32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E6E"/>
    <w:pPr>
      <w:spacing w:before="200" w:after="120" w:line="240" w:lineRule="auto"/>
      <w:outlineLvl w:val="1"/>
    </w:pPr>
    <w:rPr>
      <w:rFonts w:ascii="Arial" w:hAnsi="Arial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2B4D"/>
    <w:pPr>
      <w:spacing w:before="200" w:after="0" w:line="271" w:lineRule="auto"/>
      <w:outlineLvl w:val="2"/>
    </w:pPr>
    <w:rPr>
      <w:i/>
      <w:iC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E5B6A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5B6A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5B6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5B6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5B6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5B6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E6E"/>
    <w:rPr>
      <w:rFonts w:ascii="Arial" w:hAnsi="Arial"/>
      <w:b/>
      <w:sz w:val="24"/>
      <w:szCs w:val="28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859D4"/>
    <w:rPr>
      <w:rFonts w:ascii="Arial" w:hAnsi="Arial"/>
      <w:b/>
      <w:spacing w:val="5"/>
      <w:sz w:val="32"/>
      <w:szCs w:val="3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42B4D"/>
    <w:rPr>
      <w:rFonts w:ascii="Times New Roman" w:hAnsi="Times New Roman"/>
      <w:i/>
      <w:iCs/>
      <w:spacing w:val="5"/>
      <w:sz w:val="24"/>
      <w:szCs w:val="26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B6A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6A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6A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6A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6A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6A"/>
    <w:rPr>
      <w:b/>
      <w:bCs/>
      <w:i/>
      <w:iCs/>
      <w:color w:val="7F7F7F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E5B6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5B6A"/>
    <w:rPr>
      <w:i/>
      <w:iCs/>
    </w:rPr>
  </w:style>
  <w:style w:type="paragraph" w:styleId="TOCHeading">
    <w:name w:val="TOC Heading"/>
    <w:basedOn w:val="Heading1"/>
    <w:next w:val="Normal"/>
    <w:uiPriority w:val="39"/>
    <w:qFormat/>
    <w:rsid w:val="007E5B6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A39"/>
  </w:style>
  <w:style w:type="paragraph" w:styleId="Footer">
    <w:name w:val="footer"/>
    <w:basedOn w:val="Normal"/>
    <w:link w:val="FooterChar"/>
    <w:uiPriority w:val="99"/>
    <w:unhideWhenUsed/>
    <w:rsid w:val="00F6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A39"/>
  </w:style>
  <w:style w:type="paragraph" w:customStyle="1" w:styleId="References">
    <w:name w:val="References"/>
    <w:basedOn w:val="Normal"/>
    <w:link w:val="ReferencesChar"/>
    <w:qFormat/>
    <w:rsid w:val="007041BD"/>
    <w:pPr>
      <w:jc w:val="both"/>
    </w:pPr>
    <w:rPr>
      <w:lang w:val="en-GB"/>
    </w:rPr>
  </w:style>
  <w:style w:type="character" w:customStyle="1" w:styleId="ReferencesChar">
    <w:name w:val="References Char"/>
    <w:basedOn w:val="DefaultParagraphFont"/>
    <w:link w:val="References"/>
    <w:rsid w:val="007041BD"/>
    <w:rPr>
      <w:sz w:val="24"/>
      <w:szCs w:val="22"/>
      <w:lang w:val="en-GB" w:eastAsia="en-US" w:bidi="en-US"/>
    </w:rPr>
  </w:style>
  <w:style w:type="character" w:styleId="Hyperlink">
    <w:name w:val="Hyperlink"/>
    <w:basedOn w:val="DefaultParagraphFont"/>
    <w:rsid w:val="007041BD"/>
    <w:rPr>
      <w:color w:val="0000FF"/>
      <w:u w:val="single"/>
    </w:rPr>
  </w:style>
  <w:style w:type="character" w:styleId="FollowedHyperlink">
    <w:name w:val="FollowedHyperlink"/>
    <w:basedOn w:val="DefaultParagraphFont"/>
    <w:rsid w:val="009859D4"/>
    <w:rPr>
      <w:rFonts w:ascii="Times New Roman" w:hAnsi="Times New Roman"/>
      <w:color w:val="800080"/>
      <w:u w:val="single"/>
    </w:rPr>
  </w:style>
  <w:style w:type="table" w:styleId="TableGrid">
    <w:name w:val="Table Grid"/>
    <w:basedOn w:val="TableNormal"/>
    <w:rsid w:val="00F74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uthor">
    <w:name w:val="Author"/>
    <w:basedOn w:val="Normal"/>
    <w:qFormat/>
    <w:rsid w:val="001D4E6E"/>
    <w:rPr>
      <w:rFonts w:ascii="Arial" w:hAnsi="Arial"/>
      <w:i/>
      <w:sz w:val="28"/>
      <w:szCs w:val="24"/>
      <w:lang w:val="en-GB"/>
    </w:rPr>
  </w:style>
  <w:style w:type="paragraph" w:customStyle="1" w:styleId="TableFigureHeading">
    <w:name w:val="Table Figure Heading"/>
    <w:basedOn w:val="Normal"/>
    <w:qFormat/>
    <w:rsid w:val="004B3F81"/>
    <w:pPr>
      <w:keepNext/>
      <w:jc w:val="center"/>
    </w:pPr>
    <w:rPr>
      <w:b/>
      <w:lang w:val="en-GB"/>
    </w:rPr>
  </w:style>
  <w:style w:type="paragraph" w:customStyle="1" w:styleId="Source">
    <w:name w:val="Source"/>
    <w:basedOn w:val="Normal"/>
    <w:qFormat/>
    <w:rsid w:val="001D4E6E"/>
    <w:pPr>
      <w:tabs>
        <w:tab w:val="left" w:pos="720"/>
      </w:tabs>
      <w:spacing w:before="120" w:line="240" w:lineRule="auto"/>
      <w:ind w:left="1080" w:hanging="1080"/>
    </w:pPr>
  </w:style>
  <w:style w:type="paragraph" w:styleId="BalloonText">
    <w:name w:val="Balloon Text"/>
    <w:basedOn w:val="Normal"/>
    <w:link w:val="BalloonTextChar"/>
    <w:rsid w:val="00CC01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01B8"/>
    <w:rPr>
      <w:rFonts w:ascii="Lucida Grande" w:hAnsi="Lucida Grande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A5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F6224D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6224D"/>
    <w:rPr>
      <w:rFonts w:ascii="Arial" w:hAnsi="Arial" w:cs="Arial"/>
      <w:noProof/>
      <w:sz w:val="24"/>
      <w:szCs w:val="22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F6224D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6224D"/>
    <w:rPr>
      <w:rFonts w:ascii="Arial" w:hAnsi="Arial" w:cs="Arial"/>
      <w:noProof/>
      <w:sz w:val="24"/>
      <w:szCs w:val="22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8F7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7C57"/>
    <w:rPr>
      <w:rFonts w:ascii="Times New Roman" w:hAnsi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F7C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ni.ed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jsm.bmj.com/content/bjsports/54/24/1451.ful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.ac.nz.libguides.com/ld.php?content_id=492926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uides.lib.monash.edu/ld.php?content_id=49402325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 b="1" i="0" u="none" strike="noStrike" baseline="0">
                <a:effectLst/>
              </a:rPr>
              <a:t>Prevalence of sufficient MVPA </a:t>
            </a:r>
            <a:r>
              <a:rPr lang="en-US" sz="1000" b="1" i="0" u="none" strike="noStrike" baseline="0"/>
              <a:t>2012-2019</a:t>
            </a:r>
            <a:endParaRPr lang="th-TH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6895352622050954E-2"/>
          <c:y val="0.16318184945982878"/>
          <c:w val="0.93683565111213207"/>
          <c:h val="0.70360946454726858"/>
        </c:manualLayout>
      </c:layout>
      <c:lineChart>
        <c:grouping val="standard"/>
        <c:varyColors val="0"/>
        <c:ser>
          <c:idx val="0"/>
          <c:order val="0"/>
          <c:tx>
            <c:strRef>
              <c:f>Sheet1!$B$34</c:f>
              <c:strCache>
                <c:ptCount val="1"/>
                <c:pt idx="0">
                  <c:v>% sufficient MVPA</c:v>
                </c:pt>
              </c:strCache>
            </c:strRef>
          </c:tx>
          <c:spPr>
            <a:ln w="28575" cap="rnd">
              <a:solidFill>
                <a:schemeClr val="accent2">
                  <a:alpha val="87000"/>
                </a:schemeClr>
              </a:solidFill>
              <a:round/>
            </a:ln>
            <a:effectLst/>
          </c:spPr>
          <c:marker>
            <c:symbol val="square"/>
            <c:size val="23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dLbls>
            <c:dLbl>
              <c:idx val="7"/>
              <c:layout>
                <c:manualLayout>
                  <c:x val="-3.202017804126716E-2"/>
                  <c:y val="-3.876619893398153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CD-4A7C-A26B-8C7976DE8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Sheet1!$D$1:$K$2</c:f>
              <c:strCache>
                <c:ptCount val="8"/>
                <c:pt idx="0">
                  <c:v>SPA2012</c:v>
                </c:pt>
                <c:pt idx="1">
                  <c:v>SPA2013</c:v>
                </c:pt>
                <c:pt idx="2">
                  <c:v>SPA2014</c:v>
                </c:pt>
                <c:pt idx="3">
                  <c:v>SPA2015</c:v>
                </c:pt>
                <c:pt idx="4">
                  <c:v>SPA2016</c:v>
                </c:pt>
                <c:pt idx="5">
                  <c:v>SPA2017</c:v>
                </c:pt>
                <c:pt idx="6">
                  <c:v>SPA2018</c:v>
                </c:pt>
                <c:pt idx="7">
                  <c:v>SPA2019</c:v>
                </c:pt>
              </c:strCache>
            </c:strRef>
          </c:cat>
          <c:val>
            <c:numRef>
              <c:f>Sheet1!$D$34:$K$34</c:f>
              <c:numCache>
                <c:formatCode>0.0</c:formatCode>
                <c:ptCount val="8"/>
                <c:pt idx="0">
                  <c:v>66.599999999999994</c:v>
                </c:pt>
                <c:pt idx="1">
                  <c:v>70.099999999999994</c:v>
                </c:pt>
                <c:pt idx="2">
                  <c:v>69.5</c:v>
                </c:pt>
                <c:pt idx="3">
                  <c:v>73.099999999999994</c:v>
                </c:pt>
                <c:pt idx="4">
                  <c:v>70.599999999999994</c:v>
                </c:pt>
                <c:pt idx="5">
                  <c:v>73</c:v>
                </c:pt>
                <c:pt idx="6">
                  <c:v>75.599999999999994</c:v>
                </c:pt>
                <c:pt idx="7">
                  <c:v>74.3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70CD-4A7C-A26B-8C7976DE803F}"/>
            </c:ext>
          </c:extLst>
        </c:ser>
        <c:ser>
          <c:idx val="4"/>
          <c:order val="3"/>
          <c:tx>
            <c:strRef>
              <c:f>Sheet1!$B$7</c:f>
              <c:strCache>
                <c:ptCount val="1"/>
                <c:pt idx="0">
                  <c:v>95% CI Lower</c:v>
                </c:pt>
              </c:strCache>
            </c:strRef>
          </c:tx>
          <c:spPr>
            <a:ln w="22225" cap="rnd">
              <a:solidFill>
                <a:schemeClr val="tx2">
                  <a:alpha val="67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Sheet1!$D$1:$K$2</c:f>
              <c:strCache>
                <c:ptCount val="8"/>
                <c:pt idx="0">
                  <c:v>SPA2012</c:v>
                </c:pt>
                <c:pt idx="1">
                  <c:v>SPA2013</c:v>
                </c:pt>
                <c:pt idx="2">
                  <c:v>SPA2014</c:v>
                </c:pt>
                <c:pt idx="3">
                  <c:v>SPA2015</c:v>
                </c:pt>
                <c:pt idx="4">
                  <c:v>SPA2016</c:v>
                </c:pt>
                <c:pt idx="5">
                  <c:v>SPA2017</c:v>
                </c:pt>
                <c:pt idx="6">
                  <c:v>SPA2018</c:v>
                </c:pt>
                <c:pt idx="7">
                  <c:v>SPA2019</c:v>
                </c:pt>
              </c:strCache>
            </c:strRef>
          </c:cat>
          <c:val>
            <c:numRef>
              <c:f>Sheet1!$D$38:$K$38</c:f>
              <c:numCache>
                <c:formatCode>0.0</c:formatCode>
                <c:ptCount val="8"/>
                <c:pt idx="0">
                  <c:v>65</c:v>
                </c:pt>
                <c:pt idx="1">
                  <c:v>69</c:v>
                </c:pt>
                <c:pt idx="2">
                  <c:v>68</c:v>
                </c:pt>
                <c:pt idx="3">
                  <c:v>72</c:v>
                </c:pt>
                <c:pt idx="4">
                  <c:v>69</c:v>
                </c:pt>
                <c:pt idx="5">
                  <c:v>72</c:v>
                </c:pt>
                <c:pt idx="6">
                  <c:v>74</c:v>
                </c:pt>
                <c:pt idx="7">
                  <c:v>73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70CD-4A7C-A26B-8C7976DE803F}"/>
            </c:ext>
          </c:extLst>
        </c:ser>
        <c:ser>
          <c:idx val="5"/>
          <c:order val="4"/>
          <c:tx>
            <c:strRef>
              <c:f>Sheet1!$B$8</c:f>
              <c:strCache>
                <c:ptCount val="1"/>
                <c:pt idx="0">
                  <c:v>95% CI Upper</c:v>
                </c:pt>
              </c:strCache>
            </c:strRef>
          </c:tx>
          <c:spPr>
            <a:ln w="19050" cap="rnd">
              <a:solidFill>
                <a:schemeClr val="accent3">
                  <a:alpha val="74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1.8798852591899732E-2"/>
                  <c:y val="-2.7636214174160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CD-4A7C-A26B-8C7976DE8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Sheet1!$D$1:$K$2</c:f>
              <c:strCache>
                <c:ptCount val="8"/>
                <c:pt idx="0">
                  <c:v>SPA2012</c:v>
                </c:pt>
                <c:pt idx="1">
                  <c:v>SPA2013</c:v>
                </c:pt>
                <c:pt idx="2">
                  <c:v>SPA2014</c:v>
                </c:pt>
                <c:pt idx="3">
                  <c:v>SPA2015</c:v>
                </c:pt>
                <c:pt idx="4">
                  <c:v>SPA2016</c:v>
                </c:pt>
                <c:pt idx="5">
                  <c:v>SPA2017</c:v>
                </c:pt>
                <c:pt idx="6">
                  <c:v>SPA2018</c:v>
                </c:pt>
                <c:pt idx="7">
                  <c:v>SPA2019</c:v>
                </c:pt>
              </c:strCache>
            </c:strRef>
          </c:cat>
          <c:val>
            <c:numRef>
              <c:f>Sheet1!$D$39:$K$39</c:f>
              <c:numCache>
                <c:formatCode>0.0</c:formatCode>
                <c:ptCount val="8"/>
                <c:pt idx="0">
                  <c:v>68</c:v>
                </c:pt>
                <c:pt idx="1">
                  <c:v>71</c:v>
                </c:pt>
                <c:pt idx="2">
                  <c:v>71</c:v>
                </c:pt>
                <c:pt idx="3">
                  <c:v>74</c:v>
                </c:pt>
                <c:pt idx="4">
                  <c:v>72</c:v>
                </c:pt>
                <c:pt idx="5">
                  <c:v>74</c:v>
                </c:pt>
                <c:pt idx="6">
                  <c:v>77</c:v>
                </c:pt>
                <c:pt idx="7">
                  <c:v>75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70CD-4A7C-A26B-8C7976DE803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819077680"/>
        <c:axId val="-819073328"/>
        <c:extLst>
          <c:ext xmlns:c15="http://schemas.microsoft.com/office/drawing/2012/chart" uri="{02D57815-91ED-43cb-92C2-25804820EDAC}">
            <c15:filteredLineSeries>
              <c15:ser>
                <c:idx val="2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Sheet1!$B$5</c15:sqref>
                        </c15:formulaRef>
                      </c:ext>
                    </c:extLst>
                    <c:strCache>
                      <c:ptCount val="1"/>
                      <c:pt idx="0">
                        <c:v>S.D +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Sheet1!$D$1:$K$2</c15:sqref>
                        </c15:formulaRef>
                      </c:ext>
                    </c:extLst>
                    <c:strCache>
                      <c:ptCount val="8"/>
                      <c:pt idx="0">
                        <c:v>SPA2012</c:v>
                      </c:pt>
                      <c:pt idx="1">
                        <c:v>SPA2013</c:v>
                      </c:pt>
                      <c:pt idx="2">
                        <c:v>SPA2014</c:v>
                      </c:pt>
                      <c:pt idx="3">
                        <c:v>SPA2015</c:v>
                      </c:pt>
                      <c:pt idx="4">
                        <c:v>SPA2016</c:v>
                      </c:pt>
                      <c:pt idx="5">
                        <c:v>SPA2017</c:v>
                      </c:pt>
                      <c:pt idx="6">
                        <c:v>SPA2018</c:v>
                      </c:pt>
                      <c:pt idx="7">
                        <c:v>SPA2019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Sheet1!$D$36:$K$36</c15:sqref>
                        </c15:formulaRef>
                      </c:ext>
                    </c:extLst>
                    <c:numCache>
                      <c:formatCode>0.0</c:formatCode>
                      <c:ptCount val="8"/>
                      <c:pt idx="0">
                        <c:v>113.8</c:v>
                      </c:pt>
                      <c:pt idx="1">
                        <c:v>115.89999999999999</c:v>
                      </c:pt>
                      <c:pt idx="2">
                        <c:v>115.5</c:v>
                      </c:pt>
                      <c:pt idx="3">
                        <c:v>117.39999999999999</c:v>
                      </c:pt>
                      <c:pt idx="4">
                        <c:v>116.1</c:v>
                      </c:pt>
                      <c:pt idx="5">
                        <c:v>117.4</c:v>
                      </c:pt>
                      <c:pt idx="6">
                        <c:v>120.19999999999999</c:v>
                      </c:pt>
                      <c:pt idx="7">
                        <c:v>118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70CD-4A7C-A26B-8C7976DE803F}"/>
                  </c:ext>
                </c:extLst>
              </c15:ser>
            </c15:filteredLineSeries>
            <c15:filteredLin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</c15:sqref>
                        </c15:formulaRef>
                      </c:ext>
                    </c:extLst>
                    <c:strCache>
                      <c:ptCount val="1"/>
                      <c:pt idx="0">
                        <c:v>S.D -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Sheet1!$D$1:$K$2</c15:sqref>
                        </c15:formulaRef>
                      </c:ext>
                    </c:extLst>
                    <c:strCache>
                      <c:ptCount val="8"/>
                      <c:pt idx="0">
                        <c:v>SPA2012</c:v>
                      </c:pt>
                      <c:pt idx="1">
                        <c:v>SPA2013</c:v>
                      </c:pt>
                      <c:pt idx="2">
                        <c:v>SPA2014</c:v>
                      </c:pt>
                      <c:pt idx="3">
                        <c:v>SPA2015</c:v>
                      </c:pt>
                      <c:pt idx="4">
                        <c:v>SPA2016</c:v>
                      </c:pt>
                      <c:pt idx="5">
                        <c:v>SPA2017</c:v>
                      </c:pt>
                      <c:pt idx="6">
                        <c:v>SPA2018</c:v>
                      </c:pt>
                      <c:pt idx="7">
                        <c:v>SPA2019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Sheet1!$D$37:$K$37</c15:sqref>
                        </c15:formulaRef>
                      </c:ext>
                    </c:extLst>
                    <c:numCache>
                      <c:formatCode>0.0</c:formatCode>
                      <c:ptCount val="8"/>
                      <c:pt idx="0">
                        <c:v>19.399999999999991</c:v>
                      </c:pt>
                      <c:pt idx="1">
                        <c:v>24.299999999999997</c:v>
                      </c:pt>
                      <c:pt idx="2">
                        <c:v>23.5</c:v>
                      </c:pt>
                      <c:pt idx="3">
                        <c:v>28.799999999999997</c:v>
                      </c:pt>
                      <c:pt idx="4">
                        <c:v>25.099999999999994</c:v>
                      </c:pt>
                      <c:pt idx="5">
                        <c:v>28.6</c:v>
                      </c:pt>
                      <c:pt idx="6">
                        <c:v>30.999999999999993</c:v>
                      </c:pt>
                      <c:pt idx="7">
                        <c:v>30.599999999999994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70CD-4A7C-A26B-8C7976DE803F}"/>
                  </c:ext>
                </c:extLst>
              </c15:ser>
            </c15:filteredLineSeries>
          </c:ext>
        </c:extLst>
      </c:lineChart>
      <c:catAx>
        <c:axId val="-819077680"/>
        <c:scaling>
          <c:orientation val="minMax"/>
        </c:scaling>
        <c:delete val="0"/>
        <c:axPos val="b"/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819073328"/>
        <c:crosses val="autoZero"/>
        <c:auto val="1"/>
        <c:lblAlgn val="ctr"/>
        <c:lblOffset val="100"/>
        <c:noMultiLvlLbl val="0"/>
      </c:catAx>
      <c:valAx>
        <c:axId val="-819073328"/>
        <c:scaling>
          <c:orientation val="minMax"/>
          <c:min val="6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-81907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67918215651953773"/>
          <c:y val="0.59608153120575325"/>
          <c:w val="0.27203961805472693"/>
          <c:h val="0.13915283061527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>
      <a:gsLst>
        <a:gs pos="86000">
          <a:schemeClr val="bg1"/>
        </a:gs>
        <a:gs pos="100000">
          <a:schemeClr val="accent2">
            <a:lumMod val="20000"/>
            <a:lumOff val="80000"/>
          </a:schemeClr>
        </a:gs>
      </a:gsLst>
      <a:lin ang="5400000" scaled="1"/>
    </a:gra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87C2-2954-4767-A380-AEAB9D8B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Manager/>
  <Company>SMB2020</Company>
  <LinksUpToDate>false</LinksUpToDate>
  <CharactersWithSpaces>6414</CharactersWithSpaces>
  <SharedDoc>false</SharedDoc>
  <HyperlinkBase/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https://www.conference-service.com/IAME2013/welcome.cgi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/>
  <dc:creator>Michele Acciaro</dc:creator>
  <cp:keywords/>
  <dc:description/>
  <cp:lastModifiedBy>Piyakrita Kaewpikul</cp:lastModifiedBy>
  <cp:revision>6</cp:revision>
  <cp:lastPrinted>2016-09-21T01:03:00Z</cp:lastPrinted>
  <dcterms:created xsi:type="dcterms:W3CDTF">2024-12-02T02:35:00Z</dcterms:created>
  <dcterms:modified xsi:type="dcterms:W3CDTF">2024-12-09T02:24:00Z</dcterms:modified>
  <cp:category/>
</cp:coreProperties>
</file>